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A352B" w14:textId="6A3011DC" w:rsidR="00CC6E2A" w:rsidRPr="001E0D9A" w:rsidRDefault="00CC6E2A" w:rsidP="00700BFC">
      <w:pPr>
        <w:spacing w:after="0" w:line="360" w:lineRule="auto"/>
        <w:jc w:val="center"/>
        <w:rPr>
          <w:rFonts w:cstheme="minorHAnsi"/>
          <w:b/>
          <w:sz w:val="24"/>
          <w:szCs w:val="24"/>
        </w:rPr>
      </w:pPr>
      <w:r w:rsidRPr="001E0D9A">
        <w:rPr>
          <w:rFonts w:cstheme="minorHAnsi"/>
          <w:b/>
          <w:sz w:val="24"/>
          <w:szCs w:val="24"/>
        </w:rPr>
        <w:t>ΕΞΑΜΗΝ</w:t>
      </w:r>
      <w:r w:rsidR="00EE3DCA">
        <w:rPr>
          <w:rFonts w:cstheme="minorHAnsi"/>
          <w:b/>
          <w:sz w:val="24"/>
          <w:szCs w:val="24"/>
        </w:rPr>
        <w:t>Ι</w:t>
      </w:r>
      <w:r w:rsidRPr="001E0D9A">
        <w:rPr>
          <w:rFonts w:cstheme="minorHAnsi"/>
          <w:b/>
          <w:sz w:val="24"/>
          <w:szCs w:val="24"/>
        </w:rPr>
        <w:t>ΑΙΟ ΔΕΛΤΙΟ ΟΙΚΟΝΟΜΙΚΟΥ ΚΛΙΜΑΤΟΣ ΜΙΚΡΩΝ &amp; ΠΟΛΥ ΜΙΚΡΩΝ ΕΠΙΧΕΙΡΗΣΕΩΝ</w:t>
      </w:r>
    </w:p>
    <w:p w14:paraId="7B76692A" w14:textId="49F4D43C" w:rsidR="00CC6E2A" w:rsidRPr="00ED77A6" w:rsidRDefault="00A727B3" w:rsidP="00700BFC">
      <w:pPr>
        <w:spacing w:after="0" w:line="360" w:lineRule="auto"/>
        <w:jc w:val="right"/>
        <w:rPr>
          <w:rFonts w:cstheme="minorHAnsi"/>
          <w:sz w:val="24"/>
          <w:szCs w:val="24"/>
        </w:rPr>
      </w:pPr>
      <w:r>
        <w:rPr>
          <w:rFonts w:cstheme="minorHAnsi"/>
          <w:sz w:val="24"/>
          <w:szCs w:val="24"/>
        </w:rPr>
        <w:t>Μάρτιος 2024</w:t>
      </w:r>
    </w:p>
    <w:p w14:paraId="08AD7975" w14:textId="4E3710A3" w:rsidR="00CC6E2A" w:rsidRPr="00054E96" w:rsidRDefault="004965B0" w:rsidP="00700BFC">
      <w:pPr>
        <w:spacing w:after="0" w:line="360" w:lineRule="auto"/>
        <w:jc w:val="center"/>
        <w:rPr>
          <w:rFonts w:cstheme="minorHAnsi"/>
          <w:b/>
          <w:sz w:val="24"/>
          <w:szCs w:val="24"/>
        </w:rPr>
      </w:pPr>
      <w:r w:rsidRPr="00054E96">
        <w:rPr>
          <w:rFonts w:cstheme="minorHAnsi"/>
          <w:b/>
          <w:sz w:val="24"/>
          <w:szCs w:val="24"/>
        </w:rPr>
        <w:t>(</w:t>
      </w:r>
      <w:proofErr w:type="spellStart"/>
      <w:r w:rsidRPr="00054E96">
        <w:rPr>
          <w:rFonts w:cstheme="minorHAnsi"/>
          <w:b/>
          <w:sz w:val="24"/>
          <w:szCs w:val="24"/>
        </w:rPr>
        <w:t>Νο</w:t>
      </w:r>
      <w:proofErr w:type="spellEnd"/>
      <w:r w:rsidRPr="00054E96">
        <w:rPr>
          <w:rFonts w:cstheme="minorHAnsi"/>
          <w:b/>
          <w:sz w:val="24"/>
          <w:szCs w:val="24"/>
        </w:rPr>
        <w:t xml:space="preserve"> </w:t>
      </w:r>
      <w:r w:rsidR="00054E96" w:rsidRPr="00054E96">
        <w:rPr>
          <w:rFonts w:cstheme="minorHAnsi"/>
          <w:b/>
          <w:sz w:val="24"/>
          <w:szCs w:val="24"/>
        </w:rPr>
        <w:t>2</w:t>
      </w:r>
      <w:r w:rsidR="00054E96" w:rsidRPr="00615EE1">
        <w:rPr>
          <w:rFonts w:cstheme="minorHAnsi"/>
          <w:b/>
          <w:sz w:val="24"/>
          <w:szCs w:val="24"/>
        </w:rPr>
        <w:t>8</w:t>
      </w:r>
      <w:r w:rsidRPr="00054E96">
        <w:rPr>
          <w:rFonts w:cstheme="minorHAnsi"/>
          <w:b/>
          <w:sz w:val="24"/>
          <w:szCs w:val="24"/>
        </w:rPr>
        <w:t xml:space="preserve">, </w:t>
      </w:r>
      <w:r w:rsidR="00054E96" w:rsidRPr="00615EE1">
        <w:rPr>
          <w:rFonts w:cstheme="minorHAnsi"/>
          <w:b/>
          <w:sz w:val="24"/>
          <w:szCs w:val="24"/>
        </w:rPr>
        <w:t>1</w:t>
      </w:r>
      <w:r w:rsidR="00CC6E2A" w:rsidRPr="00BD5608">
        <w:rPr>
          <w:rFonts w:cstheme="minorHAnsi"/>
          <w:b/>
          <w:sz w:val="24"/>
          <w:szCs w:val="24"/>
        </w:rPr>
        <w:t>ο</w:t>
      </w:r>
      <w:r w:rsidR="00054E96" w:rsidRPr="00054E96">
        <w:rPr>
          <w:rFonts w:cstheme="minorHAnsi"/>
          <w:b/>
          <w:sz w:val="24"/>
          <w:szCs w:val="24"/>
        </w:rPr>
        <w:t>/202</w:t>
      </w:r>
      <w:r w:rsidR="00054E96" w:rsidRPr="00615EE1">
        <w:rPr>
          <w:rFonts w:cstheme="minorHAnsi"/>
          <w:b/>
          <w:sz w:val="24"/>
          <w:szCs w:val="24"/>
        </w:rPr>
        <w:t>4</w:t>
      </w:r>
      <w:r w:rsidR="00CC6E2A" w:rsidRPr="00054E96">
        <w:rPr>
          <w:rFonts w:cstheme="minorHAnsi"/>
          <w:b/>
          <w:sz w:val="24"/>
          <w:szCs w:val="24"/>
        </w:rPr>
        <w:t>)</w:t>
      </w:r>
    </w:p>
    <w:p w14:paraId="02192119" w14:textId="6FF9D20A" w:rsidR="00CC6E2A" w:rsidRPr="00A727B3" w:rsidRDefault="00CC6E2A" w:rsidP="00700BFC">
      <w:pPr>
        <w:spacing w:after="0" w:line="360" w:lineRule="auto"/>
        <w:jc w:val="both"/>
        <w:rPr>
          <w:rFonts w:cstheme="minorHAnsi"/>
          <w:b/>
          <w:sz w:val="24"/>
          <w:szCs w:val="24"/>
        </w:rPr>
      </w:pPr>
      <w:r w:rsidRPr="00A727B3">
        <w:rPr>
          <w:rFonts w:cstheme="minorHAnsi"/>
          <w:b/>
          <w:sz w:val="24"/>
          <w:szCs w:val="24"/>
        </w:rPr>
        <w:t xml:space="preserve">Θέμα: Έρευνα ΙΜΕ ΓΣΕΒΕΕ – Εξαμηνιαία αποτύπωση οικονομικού κλίματος στις μικρές και πολύ </w:t>
      </w:r>
      <w:r w:rsidR="00755F53">
        <w:rPr>
          <w:rFonts w:cstheme="minorHAnsi"/>
          <w:b/>
          <w:sz w:val="24"/>
          <w:szCs w:val="24"/>
        </w:rPr>
        <w:t>μικρές επιχειρήσεις</w:t>
      </w:r>
      <w:r w:rsidRPr="00A727B3">
        <w:rPr>
          <w:rStyle w:val="a9"/>
          <w:rFonts w:cstheme="minorHAnsi"/>
          <w:b/>
          <w:sz w:val="24"/>
          <w:szCs w:val="24"/>
        </w:rPr>
        <w:footnoteReference w:id="1"/>
      </w:r>
      <w:r w:rsidRPr="00A727B3">
        <w:rPr>
          <w:rFonts w:cstheme="minorHAnsi"/>
          <w:b/>
          <w:sz w:val="24"/>
          <w:szCs w:val="24"/>
        </w:rPr>
        <w:t xml:space="preserve"> </w:t>
      </w:r>
    </w:p>
    <w:p w14:paraId="19177A46" w14:textId="77777777" w:rsidR="00CC6E2A" w:rsidRPr="00A727B3" w:rsidRDefault="00CC6E2A" w:rsidP="00700BFC">
      <w:pPr>
        <w:spacing w:after="0" w:line="360" w:lineRule="auto"/>
        <w:jc w:val="both"/>
        <w:rPr>
          <w:rFonts w:cstheme="minorHAnsi"/>
          <w:sz w:val="24"/>
          <w:szCs w:val="24"/>
        </w:rPr>
      </w:pPr>
    </w:p>
    <w:p w14:paraId="34BAA021" w14:textId="6F816DB9" w:rsidR="00CC6E2A" w:rsidRPr="00A727B3" w:rsidRDefault="00CC6E2A" w:rsidP="00700BFC">
      <w:pPr>
        <w:spacing w:after="0" w:line="360" w:lineRule="auto"/>
        <w:jc w:val="both"/>
        <w:rPr>
          <w:rFonts w:cstheme="minorHAnsi"/>
          <w:sz w:val="24"/>
          <w:szCs w:val="24"/>
        </w:rPr>
      </w:pPr>
      <w:r w:rsidRPr="00A727B3">
        <w:rPr>
          <w:rFonts w:cstheme="minorHAnsi"/>
          <w:sz w:val="24"/>
          <w:szCs w:val="24"/>
        </w:rPr>
        <w:t xml:space="preserve">Η παρούσα έρευνα είναι η </w:t>
      </w:r>
      <w:r w:rsidR="00A727B3" w:rsidRPr="00A727B3">
        <w:rPr>
          <w:rFonts w:cstheme="minorHAnsi"/>
          <w:sz w:val="24"/>
          <w:szCs w:val="24"/>
        </w:rPr>
        <w:t>πρώτη</w:t>
      </w:r>
      <w:r w:rsidR="004965B0" w:rsidRPr="00A727B3">
        <w:rPr>
          <w:rFonts w:cstheme="minorHAnsi"/>
          <w:sz w:val="24"/>
          <w:szCs w:val="24"/>
        </w:rPr>
        <w:t xml:space="preserve"> για το </w:t>
      </w:r>
      <w:r w:rsidR="00A727B3" w:rsidRPr="00A727B3">
        <w:rPr>
          <w:rFonts w:cstheme="minorHAnsi"/>
          <w:sz w:val="24"/>
          <w:szCs w:val="24"/>
        </w:rPr>
        <w:t>2024</w:t>
      </w:r>
      <w:r w:rsidRPr="00A727B3">
        <w:rPr>
          <w:rFonts w:cstheme="minorHAnsi"/>
          <w:sz w:val="24"/>
          <w:szCs w:val="24"/>
        </w:rPr>
        <w:t xml:space="preserve"> που διεξάγει το Ινστιτούτο Μικρών Επιχειρήσεων της ΓΣΕΒΕΕ σε εξαμηνιαία βάση από τον Μάιο του 2009. Οι τηλεφωνικές συνεντεύξεις διενεργήθηκαν από την εταιρ</w:t>
      </w:r>
      <w:r w:rsidR="00EE3DCA">
        <w:rPr>
          <w:rFonts w:cstheme="minorHAnsi"/>
          <w:sz w:val="24"/>
          <w:szCs w:val="24"/>
        </w:rPr>
        <w:t>ε</w:t>
      </w:r>
      <w:r w:rsidRPr="00A727B3">
        <w:rPr>
          <w:rFonts w:cstheme="minorHAnsi"/>
          <w:sz w:val="24"/>
          <w:szCs w:val="24"/>
        </w:rPr>
        <w:t>ία MARC AE σε πανελλαδικό δείγμα 80</w:t>
      </w:r>
      <w:r w:rsidR="00A727B3" w:rsidRPr="00A727B3">
        <w:rPr>
          <w:rFonts w:cstheme="minorHAnsi"/>
          <w:sz w:val="24"/>
          <w:szCs w:val="24"/>
        </w:rPr>
        <w:t>1</w:t>
      </w:r>
      <w:r w:rsidRPr="00A727B3">
        <w:rPr>
          <w:rFonts w:cstheme="minorHAnsi"/>
          <w:sz w:val="24"/>
          <w:szCs w:val="24"/>
        </w:rPr>
        <w:t xml:space="preserve"> μικρών και πολύ μικρών επιχειρήσεων (0-49 άτομα προσωπικό), </w:t>
      </w:r>
      <w:r w:rsidR="002A29B5" w:rsidRPr="00A727B3">
        <w:rPr>
          <w:rFonts w:cstheme="minorHAnsi"/>
          <w:sz w:val="24"/>
          <w:szCs w:val="24"/>
        </w:rPr>
        <w:t>από</w:t>
      </w:r>
      <w:r w:rsidR="00BD5608" w:rsidRPr="00BD5608">
        <w:rPr>
          <w:rFonts w:cstheme="minorHAnsi"/>
          <w:sz w:val="24"/>
          <w:szCs w:val="24"/>
        </w:rPr>
        <w:t xml:space="preserve"> </w:t>
      </w:r>
      <w:r w:rsidR="00EE3DCA">
        <w:rPr>
          <w:rFonts w:cstheme="minorHAnsi"/>
          <w:sz w:val="24"/>
          <w:szCs w:val="24"/>
        </w:rPr>
        <w:t xml:space="preserve">την </w:t>
      </w:r>
      <w:r w:rsidR="00A727B3" w:rsidRPr="00A727B3">
        <w:rPr>
          <w:rFonts w:cstheme="minorHAnsi"/>
          <w:sz w:val="24"/>
          <w:szCs w:val="24"/>
        </w:rPr>
        <w:t>1</w:t>
      </w:r>
      <w:r w:rsidR="00EE3DCA">
        <w:rPr>
          <w:rFonts w:cstheme="minorHAnsi"/>
          <w:sz w:val="24"/>
          <w:szCs w:val="24"/>
        </w:rPr>
        <w:t>η</w:t>
      </w:r>
      <w:r w:rsidR="004965B0" w:rsidRPr="00A727B3">
        <w:rPr>
          <w:rFonts w:cstheme="minorHAnsi"/>
          <w:sz w:val="24"/>
          <w:szCs w:val="24"/>
        </w:rPr>
        <w:t xml:space="preserve"> </w:t>
      </w:r>
      <w:r w:rsidRPr="00A727B3">
        <w:rPr>
          <w:rFonts w:cstheme="minorHAnsi"/>
          <w:sz w:val="24"/>
          <w:szCs w:val="24"/>
        </w:rPr>
        <w:t xml:space="preserve">έως </w:t>
      </w:r>
      <w:r w:rsidR="00EE3DCA">
        <w:rPr>
          <w:rFonts w:cstheme="minorHAnsi"/>
          <w:sz w:val="24"/>
          <w:szCs w:val="24"/>
        </w:rPr>
        <w:t xml:space="preserve">τις </w:t>
      </w:r>
      <w:r w:rsidR="00A727B3" w:rsidRPr="00A727B3">
        <w:rPr>
          <w:rFonts w:cstheme="minorHAnsi"/>
          <w:sz w:val="24"/>
          <w:szCs w:val="24"/>
        </w:rPr>
        <w:t>14</w:t>
      </w:r>
      <w:r w:rsidR="004965B0" w:rsidRPr="00A727B3">
        <w:rPr>
          <w:rFonts w:cstheme="minorHAnsi"/>
          <w:sz w:val="24"/>
          <w:szCs w:val="24"/>
        </w:rPr>
        <w:t xml:space="preserve"> </w:t>
      </w:r>
      <w:r w:rsidR="00A727B3" w:rsidRPr="00A727B3">
        <w:rPr>
          <w:rFonts w:cstheme="minorHAnsi"/>
          <w:sz w:val="24"/>
          <w:szCs w:val="24"/>
        </w:rPr>
        <w:t xml:space="preserve">Φεβρουαρίου </w:t>
      </w:r>
      <w:r w:rsidR="00EE3DCA">
        <w:rPr>
          <w:rFonts w:cstheme="minorHAnsi"/>
          <w:sz w:val="24"/>
          <w:szCs w:val="24"/>
        </w:rPr>
        <w:t xml:space="preserve">του </w:t>
      </w:r>
      <w:r w:rsidR="00A727B3" w:rsidRPr="00A727B3">
        <w:rPr>
          <w:rFonts w:cstheme="minorHAnsi"/>
          <w:sz w:val="24"/>
          <w:szCs w:val="24"/>
        </w:rPr>
        <w:t>2024</w:t>
      </w:r>
      <w:r w:rsidRPr="00A727B3">
        <w:rPr>
          <w:rFonts w:cstheme="minorHAnsi"/>
          <w:sz w:val="24"/>
          <w:szCs w:val="24"/>
        </w:rPr>
        <w:t xml:space="preserve">. </w:t>
      </w:r>
    </w:p>
    <w:p w14:paraId="267E5DC0" w14:textId="5BDFFC2F" w:rsidR="00A727B3" w:rsidRPr="00C73F6C" w:rsidRDefault="00C73F6C" w:rsidP="00646CC1">
      <w:pPr>
        <w:spacing w:after="0" w:line="360" w:lineRule="auto"/>
        <w:jc w:val="both"/>
        <w:rPr>
          <w:rFonts w:cstheme="minorHAnsi"/>
          <w:sz w:val="24"/>
          <w:szCs w:val="24"/>
        </w:rPr>
      </w:pPr>
      <w:r w:rsidRPr="00C73F6C">
        <w:rPr>
          <w:rFonts w:cstheme="minorHAnsi"/>
          <w:sz w:val="24"/>
          <w:szCs w:val="24"/>
        </w:rPr>
        <w:t>Τα βασικά συμπεράσματα της έρευνας είναι τα ακόλουθα.</w:t>
      </w:r>
      <w:r>
        <w:rPr>
          <w:rFonts w:cstheme="minorHAnsi"/>
          <w:sz w:val="24"/>
          <w:szCs w:val="24"/>
        </w:rPr>
        <w:t xml:space="preserve"> </w:t>
      </w:r>
      <w:r w:rsidR="00A727B3" w:rsidRPr="00A124A2">
        <w:rPr>
          <w:sz w:val="24"/>
          <w:szCs w:val="24"/>
        </w:rPr>
        <w:t>Ο Δείκτης Οικονομικού Κλίματος των μικρών και πολύ μικρών επιχειρήσεων, μετά τη σημαντική ενίσχυση που κατέγραψε το δεύτερο εξάμηνο του 2022 (69,5 μονάδες) και την ήπια υποχώρηση το πρώτο εξάμηνο του 2023 (66,7 μονάδες), υποχώρησε σημαντικά το δεύτερο εξάμηνο του 2023 στις 63,9 μονάδες</w:t>
      </w:r>
      <w:r w:rsidR="00A727B3" w:rsidRPr="00615EE1">
        <w:rPr>
          <w:sz w:val="24"/>
          <w:szCs w:val="24"/>
        </w:rPr>
        <w:t>. Το στοιχείο αυτό σε συνδυασμό με τα υπόλοιπα ευρήματα της έρευνας υποδηλώνει ότι η κατάσταση των επιχειρήσεων μετά την άνοδο και σταθεροποίηση που παρουσίασε</w:t>
      </w:r>
      <w:r w:rsidR="00755F53">
        <w:rPr>
          <w:sz w:val="24"/>
          <w:szCs w:val="24"/>
        </w:rPr>
        <w:t xml:space="preserve"> τα προηγούμενα τρία εξάμηνα</w:t>
      </w:r>
      <w:r w:rsidR="00A727B3" w:rsidRPr="00615EE1">
        <w:rPr>
          <w:sz w:val="24"/>
          <w:szCs w:val="24"/>
        </w:rPr>
        <w:t>, τείνει προς υποχώρηση</w:t>
      </w:r>
      <w:r w:rsidR="00755F53">
        <w:rPr>
          <w:sz w:val="24"/>
          <w:szCs w:val="24"/>
        </w:rPr>
        <w:t>,</w:t>
      </w:r>
      <w:r w:rsidR="00A727B3" w:rsidRPr="00615EE1">
        <w:rPr>
          <w:sz w:val="24"/>
          <w:szCs w:val="24"/>
        </w:rPr>
        <w:t xml:space="preserve"> μάλλον λόγω των αβεβαιοτήτων που συνεχίζουν να υφίστανται και οι οποίες τροφοδοτούνται τόσο από το ρευστό οικονομικό περιβάλλον, όσο και από εφαρμοζόμενες πολιτικές που εντείνουν την ανασφάλεια των επιχειρήσεων</w:t>
      </w:r>
      <w:r w:rsidR="00755F53">
        <w:rPr>
          <w:sz w:val="24"/>
          <w:szCs w:val="24"/>
        </w:rPr>
        <w:t>,</w:t>
      </w:r>
      <w:r w:rsidR="00A727B3" w:rsidRPr="00615EE1">
        <w:rPr>
          <w:sz w:val="24"/>
          <w:szCs w:val="24"/>
        </w:rPr>
        <w:t xml:space="preserve"> </w:t>
      </w:r>
      <w:r w:rsidR="00EE3DCA">
        <w:rPr>
          <w:sz w:val="24"/>
          <w:szCs w:val="24"/>
        </w:rPr>
        <w:t>όπως,</w:t>
      </w:r>
      <w:r w:rsidR="00A727B3" w:rsidRPr="00615EE1">
        <w:rPr>
          <w:sz w:val="24"/>
          <w:szCs w:val="24"/>
        </w:rPr>
        <w:t xml:space="preserve"> για παράδειγμα</w:t>
      </w:r>
      <w:r w:rsidR="00EE3DCA">
        <w:rPr>
          <w:sz w:val="24"/>
          <w:szCs w:val="24"/>
        </w:rPr>
        <w:t>,</w:t>
      </w:r>
      <w:r w:rsidR="00A727B3" w:rsidRPr="00615EE1">
        <w:rPr>
          <w:sz w:val="24"/>
          <w:szCs w:val="24"/>
        </w:rPr>
        <w:t xml:space="preserve"> ο νέος τρόπος τεκμαρτής φορολόγησης των ατομικών επιχειρήσεων</w:t>
      </w:r>
      <w:r w:rsidR="00A727B3">
        <w:rPr>
          <w:sz w:val="24"/>
          <w:szCs w:val="24"/>
        </w:rPr>
        <w:t>.</w:t>
      </w:r>
      <w:r w:rsidR="00EE3DCA">
        <w:rPr>
          <w:sz w:val="24"/>
          <w:szCs w:val="24"/>
        </w:rPr>
        <w:t xml:space="preserve"> </w:t>
      </w:r>
      <w:r w:rsidR="00755F53">
        <w:rPr>
          <w:sz w:val="24"/>
          <w:szCs w:val="24"/>
        </w:rPr>
        <w:t>Ειδικά για τον νέο τρόπο φορολόγησης των ατομικών επιχειρήσεων, είναι χαρακτηριστικό πως 6 στις 10 επιχειρήσεις θεωρούν ότι θα οδηγήσει σε νέα λουκέτα.</w:t>
      </w:r>
      <w:r w:rsidR="00DD56BC">
        <w:rPr>
          <w:sz w:val="24"/>
          <w:szCs w:val="24"/>
        </w:rPr>
        <w:t xml:space="preserve"> Αυτό αποτυπώνεται </w:t>
      </w:r>
      <w:r w:rsidR="00DD56BC" w:rsidRPr="00DD56BC">
        <w:rPr>
          <w:sz w:val="24"/>
          <w:szCs w:val="24"/>
        </w:rPr>
        <w:t xml:space="preserve">και στον δείκτη προσδοκιών των </w:t>
      </w:r>
      <w:proofErr w:type="spellStart"/>
      <w:r w:rsidR="00DD56BC" w:rsidRPr="00DD56BC">
        <w:rPr>
          <w:sz w:val="24"/>
          <w:szCs w:val="24"/>
        </w:rPr>
        <w:t>ΜμΕ</w:t>
      </w:r>
      <w:proofErr w:type="spellEnd"/>
      <w:r w:rsidR="00DD56BC" w:rsidRPr="00DD56BC">
        <w:rPr>
          <w:sz w:val="24"/>
          <w:szCs w:val="24"/>
        </w:rPr>
        <w:t xml:space="preserve"> όπου</w:t>
      </w:r>
      <w:r w:rsidR="0081132D">
        <w:rPr>
          <w:sz w:val="24"/>
          <w:szCs w:val="24"/>
        </w:rPr>
        <w:t>,</w:t>
      </w:r>
      <w:r w:rsidR="00DD56BC" w:rsidRPr="00DD56BC">
        <w:rPr>
          <w:sz w:val="24"/>
          <w:szCs w:val="24"/>
        </w:rPr>
        <w:t xml:space="preserve"> μετά από 2 συνεχόμενα εξάμηνα ανόδου, υποχωρεί στις 63,9 μονάδες</w:t>
      </w:r>
      <w:r w:rsidR="0081132D">
        <w:rPr>
          <w:sz w:val="24"/>
          <w:szCs w:val="24"/>
        </w:rPr>
        <w:t>,</w:t>
      </w:r>
      <w:r w:rsidR="00DD56BC" w:rsidRPr="00DD56BC">
        <w:rPr>
          <w:sz w:val="24"/>
          <w:szCs w:val="24"/>
        </w:rPr>
        <w:t xml:space="preserve"> </w:t>
      </w:r>
      <w:r w:rsidR="0081132D">
        <w:rPr>
          <w:sz w:val="24"/>
          <w:szCs w:val="24"/>
        </w:rPr>
        <w:t>το οποίο</w:t>
      </w:r>
      <w:r w:rsidR="00DD56BC" w:rsidRPr="00DD56BC">
        <w:rPr>
          <w:sz w:val="24"/>
          <w:szCs w:val="24"/>
        </w:rPr>
        <w:t xml:space="preserve"> </w:t>
      </w:r>
      <w:r w:rsidR="0081132D">
        <w:rPr>
          <w:sz w:val="24"/>
          <w:szCs w:val="24"/>
        </w:rPr>
        <w:t>υπο</w:t>
      </w:r>
      <w:r w:rsidR="00DD56BC" w:rsidRPr="00DD56BC">
        <w:rPr>
          <w:sz w:val="24"/>
          <w:szCs w:val="24"/>
        </w:rPr>
        <w:t>δε</w:t>
      </w:r>
      <w:r w:rsidR="0081132D">
        <w:rPr>
          <w:sz w:val="24"/>
          <w:szCs w:val="24"/>
        </w:rPr>
        <w:t>ικ</w:t>
      </w:r>
      <w:r w:rsidR="00DD56BC" w:rsidRPr="00DD56BC">
        <w:rPr>
          <w:sz w:val="24"/>
          <w:szCs w:val="24"/>
        </w:rPr>
        <w:t>ν</w:t>
      </w:r>
      <w:r w:rsidR="0081132D">
        <w:rPr>
          <w:sz w:val="24"/>
          <w:szCs w:val="24"/>
        </w:rPr>
        <w:t>ύ</w:t>
      </w:r>
      <w:r w:rsidR="00DD56BC" w:rsidRPr="00DD56BC">
        <w:rPr>
          <w:sz w:val="24"/>
          <w:szCs w:val="24"/>
        </w:rPr>
        <w:t>ει ότι οι επιχειρήσεις είναι λιγότερο αισιόδοξες για το μέλλον.</w:t>
      </w:r>
    </w:p>
    <w:p w14:paraId="4CF42BF5" w14:textId="0CF17004" w:rsidR="0074169D" w:rsidRPr="00054E96" w:rsidRDefault="0074169D" w:rsidP="00DD56BC">
      <w:pPr>
        <w:spacing w:after="0" w:line="360" w:lineRule="auto"/>
        <w:jc w:val="both"/>
        <w:rPr>
          <w:rFonts w:cstheme="minorHAnsi"/>
          <w:sz w:val="24"/>
          <w:szCs w:val="24"/>
          <w:highlight w:val="yellow"/>
        </w:rPr>
      </w:pPr>
      <w:r w:rsidRPr="00DE77D0">
        <w:rPr>
          <w:sz w:val="24"/>
          <w:szCs w:val="24"/>
        </w:rPr>
        <w:t xml:space="preserve">Στα θετικά ευρήματα </w:t>
      </w:r>
      <w:r w:rsidR="00A44F54" w:rsidRPr="00DE77D0">
        <w:rPr>
          <w:sz w:val="24"/>
          <w:szCs w:val="24"/>
        </w:rPr>
        <w:t>συμπεριλαμβάνονται</w:t>
      </w:r>
      <w:r w:rsidRPr="00DE77D0">
        <w:rPr>
          <w:sz w:val="24"/>
          <w:szCs w:val="24"/>
        </w:rPr>
        <w:t xml:space="preserve"> τα αποτελέσματα χρήσης των μικρών και πολύ</w:t>
      </w:r>
      <w:r w:rsidR="00C73F6C" w:rsidRPr="00DE77D0">
        <w:rPr>
          <w:sz w:val="24"/>
          <w:szCs w:val="24"/>
        </w:rPr>
        <w:t xml:space="preserve"> μικρών επιχειρήσεων για το 2023</w:t>
      </w:r>
      <w:r w:rsidRPr="00DE77D0">
        <w:rPr>
          <w:sz w:val="24"/>
          <w:szCs w:val="24"/>
        </w:rPr>
        <w:t>, όπου</w:t>
      </w:r>
      <w:r w:rsidR="0081132D" w:rsidRPr="0081132D">
        <w:rPr>
          <w:sz w:val="24"/>
          <w:szCs w:val="24"/>
        </w:rPr>
        <w:t xml:space="preserve"> περίπου 6 στις 10 επιχειρήσεις</w:t>
      </w:r>
      <w:r w:rsidRPr="00DE77D0">
        <w:rPr>
          <w:sz w:val="24"/>
          <w:szCs w:val="24"/>
        </w:rPr>
        <w:t xml:space="preserve"> </w:t>
      </w:r>
      <w:r w:rsidR="00BD5608" w:rsidRPr="00BD5608">
        <w:rPr>
          <w:sz w:val="24"/>
          <w:szCs w:val="24"/>
        </w:rPr>
        <w:t>(</w:t>
      </w:r>
      <w:r w:rsidR="00DD56BC" w:rsidRPr="00DE77D0">
        <w:rPr>
          <w:sz w:val="24"/>
          <w:szCs w:val="24"/>
        </w:rPr>
        <w:t>57,3</w:t>
      </w:r>
      <w:r w:rsidRPr="00DE77D0">
        <w:rPr>
          <w:sz w:val="24"/>
          <w:szCs w:val="24"/>
        </w:rPr>
        <w:t>%</w:t>
      </w:r>
      <w:r w:rsidR="0081132D">
        <w:rPr>
          <w:sz w:val="24"/>
          <w:szCs w:val="24"/>
        </w:rPr>
        <w:t>)</w:t>
      </w:r>
      <w:r w:rsidRPr="00DE77D0">
        <w:rPr>
          <w:sz w:val="24"/>
          <w:szCs w:val="24"/>
        </w:rPr>
        <w:t xml:space="preserve"> </w:t>
      </w:r>
      <w:r w:rsidR="00DD56BC" w:rsidRPr="00DE77D0">
        <w:rPr>
          <w:sz w:val="24"/>
          <w:szCs w:val="24"/>
        </w:rPr>
        <w:t>δήλωσε ότι είχε κέρδη, ποσοστό</w:t>
      </w:r>
      <w:r w:rsidRPr="00DE77D0">
        <w:rPr>
          <w:sz w:val="24"/>
          <w:szCs w:val="24"/>
        </w:rPr>
        <w:t xml:space="preserve"> </w:t>
      </w:r>
      <w:r w:rsidRPr="00DE77D0">
        <w:rPr>
          <w:sz w:val="24"/>
          <w:szCs w:val="24"/>
        </w:rPr>
        <w:lastRenderedPageBreak/>
        <w:t xml:space="preserve">αυξημένο σε σχέση </w:t>
      </w:r>
      <w:r w:rsidR="00DD56BC" w:rsidRPr="00DE77D0">
        <w:rPr>
          <w:sz w:val="24"/>
          <w:szCs w:val="24"/>
        </w:rPr>
        <w:t>με το 2022 (51%)</w:t>
      </w:r>
      <w:r w:rsidRPr="00DE77D0">
        <w:rPr>
          <w:sz w:val="24"/>
          <w:szCs w:val="24"/>
        </w:rPr>
        <w:t xml:space="preserve">. </w:t>
      </w:r>
      <w:r w:rsidR="00DD56BC">
        <w:rPr>
          <w:sz w:val="24"/>
          <w:szCs w:val="24"/>
        </w:rPr>
        <w:t>Υψηλό είναι</w:t>
      </w:r>
      <w:r w:rsidR="0081132D">
        <w:rPr>
          <w:sz w:val="24"/>
          <w:szCs w:val="24"/>
        </w:rPr>
        <w:t>,</w:t>
      </w:r>
      <w:r w:rsidR="00DD56BC">
        <w:rPr>
          <w:sz w:val="24"/>
          <w:szCs w:val="24"/>
        </w:rPr>
        <w:t xml:space="preserve"> </w:t>
      </w:r>
      <w:r w:rsidR="0081132D">
        <w:rPr>
          <w:sz w:val="24"/>
          <w:szCs w:val="24"/>
        </w:rPr>
        <w:t>επίσης,</w:t>
      </w:r>
      <w:r w:rsidR="00DD56BC">
        <w:rPr>
          <w:sz w:val="24"/>
          <w:szCs w:val="24"/>
        </w:rPr>
        <w:t xml:space="preserve"> και το ποσοστό των επιχειρήσεων που πραγματοποίησε επενδύσεις το δεύτερο εξάμηνο του 2023 (37,2%).</w:t>
      </w:r>
      <w:r w:rsidR="00DD56BC" w:rsidRPr="00DD56BC">
        <w:rPr>
          <w:sz w:val="24"/>
          <w:szCs w:val="24"/>
        </w:rPr>
        <w:t xml:space="preserve"> </w:t>
      </w:r>
    </w:p>
    <w:p w14:paraId="2CBCBB83" w14:textId="260A6FAE" w:rsidR="00646CC1" w:rsidRPr="00DD56BC" w:rsidRDefault="00233A5F" w:rsidP="00A01605">
      <w:pPr>
        <w:spacing w:after="0" w:line="360" w:lineRule="auto"/>
        <w:jc w:val="both"/>
        <w:rPr>
          <w:rFonts w:cstheme="minorHAnsi"/>
          <w:sz w:val="24"/>
          <w:szCs w:val="24"/>
        </w:rPr>
      </w:pPr>
      <w:r w:rsidRPr="00DD56BC">
        <w:rPr>
          <w:rFonts w:cstheme="minorHAnsi"/>
          <w:sz w:val="24"/>
          <w:szCs w:val="24"/>
        </w:rPr>
        <w:t>Από την άλλη μεριά</w:t>
      </w:r>
      <w:r w:rsidR="002A29B5" w:rsidRPr="00DD56BC">
        <w:rPr>
          <w:rFonts w:cstheme="minorHAnsi"/>
          <w:sz w:val="24"/>
          <w:szCs w:val="24"/>
        </w:rPr>
        <w:t>,</w:t>
      </w:r>
      <w:r w:rsidRPr="00DD56BC">
        <w:rPr>
          <w:rFonts w:cstheme="minorHAnsi"/>
          <w:sz w:val="24"/>
          <w:szCs w:val="24"/>
        </w:rPr>
        <w:t xml:space="preserve"> </w:t>
      </w:r>
      <w:r w:rsidR="00F83E1F" w:rsidRPr="00DD56BC">
        <w:rPr>
          <w:rFonts w:cstheme="minorHAnsi"/>
          <w:sz w:val="24"/>
          <w:szCs w:val="24"/>
        </w:rPr>
        <w:t xml:space="preserve">τα σοβαρά προβλήματα ρευστότητας που αντιμετωπίζουν οι μικρές και πολύ μικρές επιχειρήσεις παραμένουν. Συγκεκριμένα, </w:t>
      </w:r>
      <w:r w:rsidR="002B7A63" w:rsidRPr="00DD56BC">
        <w:rPr>
          <w:rFonts w:cstheme="minorHAnsi"/>
          <w:sz w:val="24"/>
          <w:szCs w:val="24"/>
        </w:rPr>
        <w:t>1 στις 2</w:t>
      </w:r>
      <w:r w:rsidR="00F83E1F" w:rsidRPr="00DD56BC">
        <w:rPr>
          <w:rFonts w:cstheme="minorHAnsi"/>
          <w:sz w:val="24"/>
          <w:szCs w:val="24"/>
        </w:rPr>
        <w:t xml:space="preserve"> επιχειρήσεις </w:t>
      </w:r>
      <w:r w:rsidR="002B7A63" w:rsidRPr="00DD56BC">
        <w:rPr>
          <w:rFonts w:cstheme="minorHAnsi"/>
          <w:sz w:val="24"/>
          <w:szCs w:val="24"/>
        </w:rPr>
        <w:t>δήλωσε ότι έχει</w:t>
      </w:r>
      <w:r w:rsidR="00F83E1F" w:rsidRPr="00DD56BC">
        <w:rPr>
          <w:rFonts w:cstheme="minorHAnsi"/>
          <w:sz w:val="24"/>
          <w:szCs w:val="24"/>
        </w:rPr>
        <w:t xml:space="preserve"> μηδενικά ρευστά διαθέσιμα (</w:t>
      </w:r>
      <w:r w:rsidR="00DD56BC" w:rsidRPr="00DD56BC">
        <w:rPr>
          <w:rFonts w:cstheme="minorHAnsi"/>
          <w:sz w:val="24"/>
          <w:szCs w:val="24"/>
        </w:rPr>
        <w:t>25,5</w:t>
      </w:r>
      <w:r w:rsidR="00F83E1F" w:rsidRPr="00DD56BC">
        <w:rPr>
          <w:rFonts w:cstheme="minorHAnsi"/>
          <w:sz w:val="24"/>
          <w:szCs w:val="24"/>
        </w:rPr>
        <w:t xml:space="preserve">%) ή διαθέσιμα που επαρκούν </w:t>
      </w:r>
      <w:r w:rsidR="002B7A63" w:rsidRPr="00DD56BC">
        <w:rPr>
          <w:rFonts w:cstheme="minorHAnsi"/>
          <w:sz w:val="24"/>
          <w:szCs w:val="24"/>
        </w:rPr>
        <w:t>το πολύ για ένα</w:t>
      </w:r>
      <w:r w:rsidR="00F83E1F" w:rsidRPr="00DD56BC">
        <w:rPr>
          <w:rFonts w:cstheme="minorHAnsi"/>
          <w:sz w:val="24"/>
          <w:szCs w:val="24"/>
        </w:rPr>
        <w:t xml:space="preserve"> μήνα (</w:t>
      </w:r>
      <w:r w:rsidR="00DD56BC" w:rsidRPr="00DD56BC">
        <w:rPr>
          <w:rFonts w:cstheme="minorHAnsi"/>
          <w:sz w:val="24"/>
          <w:szCs w:val="24"/>
        </w:rPr>
        <w:t>25,1</w:t>
      </w:r>
      <w:r w:rsidR="00F83E1F" w:rsidRPr="00DD56BC">
        <w:rPr>
          <w:rFonts w:cstheme="minorHAnsi"/>
          <w:sz w:val="24"/>
          <w:szCs w:val="24"/>
        </w:rPr>
        <w:t>%)</w:t>
      </w:r>
      <w:r w:rsidR="002B7A63" w:rsidRPr="00DD56BC">
        <w:rPr>
          <w:rFonts w:cstheme="minorHAnsi"/>
          <w:sz w:val="24"/>
          <w:szCs w:val="24"/>
        </w:rPr>
        <w:t>. Επιπλέον,</w:t>
      </w:r>
      <w:r w:rsidR="00EE3DCA">
        <w:rPr>
          <w:rFonts w:cstheme="minorHAnsi"/>
          <w:sz w:val="24"/>
          <w:szCs w:val="24"/>
        </w:rPr>
        <w:t xml:space="preserve"> </w:t>
      </w:r>
      <w:r w:rsidR="002B7A63" w:rsidRPr="00DD56BC">
        <w:rPr>
          <w:rFonts w:cstheme="minorHAnsi"/>
          <w:sz w:val="24"/>
          <w:szCs w:val="24"/>
        </w:rPr>
        <w:t>το ποσοστό των επιχειρήσεων με καθυστερημένες-ληξιπρόθεσμες υποχρεώσεις παραμένει ακόμα</w:t>
      </w:r>
      <w:r w:rsidR="00DD56BC">
        <w:rPr>
          <w:rFonts w:cstheme="minorHAnsi"/>
          <w:sz w:val="24"/>
          <w:szCs w:val="24"/>
        </w:rPr>
        <w:t xml:space="preserve"> ιδιαίτερ</w:t>
      </w:r>
      <w:r w:rsidR="0081132D">
        <w:rPr>
          <w:rFonts w:cstheme="minorHAnsi"/>
          <w:sz w:val="24"/>
          <w:szCs w:val="24"/>
        </w:rPr>
        <w:t>α</w:t>
      </w:r>
      <w:r w:rsidR="002B7A63" w:rsidRPr="00DD56BC">
        <w:rPr>
          <w:rFonts w:cstheme="minorHAnsi"/>
          <w:sz w:val="24"/>
          <w:szCs w:val="24"/>
        </w:rPr>
        <w:t xml:space="preserve"> υψηλό (</w:t>
      </w:r>
      <w:r w:rsidR="00DD56BC">
        <w:rPr>
          <w:rFonts w:cstheme="minorHAnsi"/>
          <w:sz w:val="24"/>
          <w:szCs w:val="24"/>
        </w:rPr>
        <w:t>30,6</w:t>
      </w:r>
      <w:r w:rsidR="002B7A63" w:rsidRPr="00DD56BC">
        <w:rPr>
          <w:rFonts w:cstheme="minorHAnsi"/>
          <w:sz w:val="24"/>
          <w:szCs w:val="24"/>
        </w:rPr>
        <w:t xml:space="preserve">%). </w:t>
      </w:r>
      <w:r w:rsidR="00646CC1" w:rsidRPr="00DD56BC">
        <w:rPr>
          <w:rFonts w:cstheme="minorHAnsi"/>
          <w:sz w:val="24"/>
          <w:szCs w:val="24"/>
        </w:rPr>
        <w:t xml:space="preserve">Για τις επιχειρήσεις αυτές, τα προβλήματα ρευστότητας </w:t>
      </w:r>
      <w:r w:rsidR="002B7A63" w:rsidRPr="00DD56BC">
        <w:rPr>
          <w:rFonts w:cstheme="minorHAnsi"/>
          <w:sz w:val="24"/>
          <w:szCs w:val="24"/>
        </w:rPr>
        <w:t xml:space="preserve">είναι εντονότερα </w:t>
      </w:r>
      <w:r w:rsidR="00646CC1" w:rsidRPr="00DD56BC">
        <w:rPr>
          <w:rFonts w:cstheme="minorHAnsi"/>
          <w:sz w:val="24"/>
          <w:szCs w:val="24"/>
        </w:rPr>
        <w:t>και</w:t>
      </w:r>
      <w:r w:rsidR="0081132D">
        <w:rPr>
          <w:rFonts w:cstheme="minorHAnsi"/>
          <w:sz w:val="24"/>
          <w:szCs w:val="24"/>
        </w:rPr>
        <w:t>, αντιστρόφως, ασθενέστερη</w:t>
      </w:r>
      <w:r w:rsidR="00646CC1" w:rsidRPr="00DD56BC">
        <w:rPr>
          <w:rFonts w:cstheme="minorHAnsi"/>
          <w:sz w:val="24"/>
          <w:szCs w:val="24"/>
        </w:rPr>
        <w:t xml:space="preserve"> η δυνατότητά τους να ανταποκριθούν στις υποχρεώσεις τους και να ξεφύγουν από τον φαύλο κύκλο της υπερχρέωσης. </w:t>
      </w:r>
    </w:p>
    <w:p w14:paraId="2A68B3DD" w14:textId="5BEDF875" w:rsidR="00646CC1" w:rsidRPr="00054E96" w:rsidRDefault="00911C42" w:rsidP="00A01605">
      <w:pPr>
        <w:spacing w:after="0" w:line="360" w:lineRule="auto"/>
        <w:jc w:val="both"/>
        <w:rPr>
          <w:rFonts w:eastAsia="Times New Roman" w:cstheme="minorHAnsi"/>
          <w:color w:val="222222"/>
          <w:sz w:val="24"/>
          <w:szCs w:val="24"/>
          <w:highlight w:val="yellow"/>
        </w:rPr>
      </w:pPr>
      <w:r w:rsidRPr="00DE77D0">
        <w:rPr>
          <w:rFonts w:eastAsia="Times New Roman" w:cstheme="minorHAnsi"/>
          <w:color w:val="222222"/>
          <w:sz w:val="24"/>
          <w:szCs w:val="24"/>
        </w:rPr>
        <w:t>Τέλος</w:t>
      </w:r>
      <w:r w:rsidR="00646CC1" w:rsidRPr="00DE77D0">
        <w:rPr>
          <w:rFonts w:eastAsia="Times New Roman" w:cstheme="minorHAnsi"/>
          <w:color w:val="222222"/>
          <w:sz w:val="24"/>
          <w:szCs w:val="24"/>
        </w:rPr>
        <w:t xml:space="preserve">, οι επιπτώσεις </w:t>
      </w:r>
      <w:r w:rsidR="00DD56BC" w:rsidRPr="00DE77D0">
        <w:rPr>
          <w:rFonts w:eastAsia="Times New Roman" w:cstheme="minorHAnsi"/>
          <w:color w:val="222222"/>
          <w:sz w:val="24"/>
          <w:szCs w:val="24"/>
        </w:rPr>
        <w:t xml:space="preserve">από το πληθωριστικό κύμα των τελευταίων 2 περίπου ετών είναι </w:t>
      </w:r>
      <w:r w:rsidR="0081132D" w:rsidRPr="00DE77D0">
        <w:rPr>
          <w:rFonts w:eastAsia="Times New Roman" w:cstheme="minorHAnsi"/>
          <w:color w:val="222222"/>
          <w:sz w:val="24"/>
          <w:szCs w:val="24"/>
        </w:rPr>
        <w:t>εμφαν</w:t>
      </w:r>
      <w:r w:rsidR="0081132D">
        <w:rPr>
          <w:rFonts w:eastAsia="Times New Roman" w:cstheme="minorHAnsi"/>
          <w:color w:val="222222"/>
          <w:sz w:val="24"/>
          <w:szCs w:val="24"/>
        </w:rPr>
        <w:t>εί</w:t>
      </w:r>
      <w:r w:rsidR="0081132D" w:rsidRPr="00DE77D0">
        <w:rPr>
          <w:rFonts w:eastAsia="Times New Roman" w:cstheme="minorHAnsi"/>
          <w:color w:val="222222"/>
          <w:sz w:val="24"/>
          <w:szCs w:val="24"/>
        </w:rPr>
        <w:t xml:space="preserve">ς </w:t>
      </w:r>
      <w:r w:rsidR="0081132D">
        <w:rPr>
          <w:rFonts w:eastAsia="Times New Roman" w:cstheme="minorHAnsi"/>
          <w:color w:val="222222"/>
          <w:sz w:val="24"/>
          <w:szCs w:val="24"/>
        </w:rPr>
        <w:t>σ</w:t>
      </w:r>
      <w:r w:rsidR="00DD56BC" w:rsidRPr="00DE77D0">
        <w:rPr>
          <w:rFonts w:eastAsia="Times New Roman" w:cstheme="minorHAnsi"/>
          <w:color w:val="222222"/>
          <w:sz w:val="24"/>
          <w:szCs w:val="24"/>
        </w:rPr>
        <w:t>την αύξηση του λειτουργικού κόστους των επιχειρήσεων</w:t>
      </w:r>
      <w:r w:rsidR="00DE77D0">
        <w:rPr>
          <w:rFonts w:eastAsia="Times New Roman" w:cstheme="minorHAnsi"/>
          <w:color w:val="222222"/>
          <w:sz w:val="24"/>
          <w:szCs w:val="24"/>
        </w:rPr>
        <w:t>,</w:t>
      </w:r>
      <w:r w:rsidR="00DD56BC" w:rsidRPr="00DE77D0">
        <w:rPr>
          <w:rFonts w:eastAsia="Times New Roman" w:cstheme="minorHAnsi"/>
          <w:color w:val="222222"/>
          <w:sz w:val="24"/>
          <w:szCs w:val="24"/>
        </w:rPr>
        <w:t xml:space="preserve"> </w:t>
      </w:r>
      <w:r w:rsidR="0081132D">
        <w:rPr>
          <w:rFonts w:eastAsia="Times New Roman" w:cstheme="minorHAnsi"/>
          <w:color w:val="222222"/>
          <w:sz w:val="24"/>
          <w:szCs w:val="24"/>
        </w:rPr>
        <w:t>το οποίο</w:t>
      </w:r>
      <w:r w:rsidR="0081132D" w:rsidRPr="00DE77D0">
        <w:rPr>
          <w:rFonts w:eastAsia="Times New Roman" w:cstheme="minorHAnsi"/>
          <w:color w:val="222222"/>
          <w:sz w:val="24"/>
          <w:szCs w:val="24"/>
        </w:rPr>
        <w:t xml:space="preserve"> </w:t>
      </w:r>
      <w:r w:rsidR="00DD56BC" w:rsidRPr="00DE77D0">
        <w:rPr>
          <w:rFonts w:eastAsia="Times New Roman" w:cstheme="minorHAnsi"/>
          <w:color w:val="222222"/>
          <w:sz w:val="24"/>
          <w:szCs w:val="24"/>
        </w:rPr>
        <w:t xml:space="preserve">με βάση τα ευρήματα της έρευνας έχει αυξηθεί </w:t>
      </w:r>
      <w:proofErr w:type="spellStart"/>
      <w:r w:rsidR="00DD56BC" w:rsidRPr="00DE77D0">
        <w:rPr>
          <w:rFonts w:eastAsia="Times New Roman" w:cstheme="minorHAnsi"/>
          <w:color w:val="222222"/>
          <w:sz w:val="24"/>
          <w:szCs w:val="24"/>
        </w:rPr>
        <w:t>μεσοσταθμικά</w:t>
      </w:r>
      <w:proofErr w:type="spellEnd"/>
      <w:r w:rsidR="00DD56BC" w:rsidRPr="00DE77D0">
        <w:rPr>
          <w:rFonts w:eastAsia="Times New Roman" w:cstheme="minorHAnsi"/>
          <w:color w:val="222222"/>
          <w:sz w:val="24"/>
          <w:szCs w:val="24"/>
        </w:rPr>
        <w:t xml:space="preserve"> κατά 35%</w:t>
      </w:r>
      <w:r w:rsidR="00646CC1" w:rsidRPr="00DE77D0">
        <w:rPr>
          <w:rFonts w:eastAsia="Times New Roman" w:cstheme="minorHAnsi"/>
          <w:color w:val="222222"/>
          <w:sz w:val="24"/>
          <w:szCs w:val="24"/>
        </w:rPr>
        <w:t xml:space="preserve">. </w:t>
      </w:r>
    </w:p>
    <w:p w14:paraId="1E0235CC" w14:textId="77777777" w:rsidR="00A00FA8" w:rsidRPr="00054E96" w:rsidRDefault="00A00FA8" w:rsidP="00A01605">
      <w:pPr>
        <w:spacing w:after="0" w:line="360" w:lineRule="auto"/>
        <w:jc w:val="both"/>
        <w:rPr>
          <w:rFonts w:eastAsia="Times New Roman" w:cstheme="minorHAnsi"/>
          <w:color w:val="222222"/>
          <w:sz w:val="24"/>
          <w:szCs w:val="24"/>
          <w:highlight w:val="yellow"/>
        </w:rPr>
      </w:pPr>
    </w:p>
    <w:p w14:paraId="433A98D0" w14:textId="77777777" w:rsidR="00DE77D0" w:rsidRDefault="00DE77D0" w:rsidP="00A01605">
      <w:pPr>
        <w:spacing w:after="0" w:line="360" w:lineRule="auto"/>
        <w:jc w:val="both"/>
        <w:rPr>
          <w:rFonts w:eastAsia="Times New Roman" w:cstheme="minorHAnsi"/>
          <w:b/>
          <w:bCs/>
          <w:color w:val="222222"/>
          <w:sz w:val="24"/>
          <w:szCs w:val="24"/>
        </w:rPr>
      </w:pPr>
    </w:p>
    <w:p w14:paraId="3A05311D" w14:textId="77777777" w:rsidR="00DE77D0" w:rsidRDefault="00DE77D0" w:rsidP="00A01605">
      <w:pPr>
        <w:spacing w:after="0" w:line="360" w:lineRule="auto"/>
        <w:jc w:val="both"/>
        <w:rPr>
          <w:rFonts w:eastAsia="Times New Roman" w:cstheme="minorHAnsi"/>
          <w:b/>
          <w:bCs/>
          <w:color w:val="222222"/>
          <w:sz w:val="24"/>
          <w:szCs w:val="24"/>
        </w:rPr>
      </w:pPr>
    </w:p>
    <w:p w14:paraId="7439FF4C" w14:textId="77777777" w:rsidR="00DE77D0" w:rsidRDefault="00DE77D0" w:rsidP="00A01605">
      <w:pPr>
        <w:spacing w:after="0" w:line="360" w:lineRule="auto"/>
        <w:jc w:val="both"/>
        <w:rPr>
          <w:rFonts w:eastAsia="Times New Roman" w:cstheme="minorHAnsi"/>
          <w:b/>
          <w:bCs/>
          <w:color w:val="222222"/>
          <w:sz w:val="24"/>
          <w:szCs w:val="24"/>
        </w:rPr>
      </w:pPr>
    </w:p>
    <w:p w14:paraId="7003F7AC" w14:textId="77777777" w:rsidR="00DE77D0" w:rsidRDefault="00DE77D0" w:rsidP="00A01605">
      <w:pPr>
        <w:spacing w:after="0" w:line="360" w:lineRule="auto"/>
        <w:jc w:val="both"/>
        <w:rPr>
          <w:rFonts w:eastAsia="Times New Roman" w:cstheme="minorHAnsi"/>
          <w:b/>
          <w:bCs/>
          <w:color w:val="222222"/>
          <w:sz w:val="24"/>
          <w:szCs w:val="24"/>
        </w:rPr>
      </w:pPr>
    </w:p>
    <w:p w14:paraId="6341856E" w14:textId="77777777" w:rsidR="00DE77D0" w:rsidRDefault="00DE77D0" w:rsidP="00A01605">
      <w:pPr>
        <w:spacing w:after="0" w:line="360" w:lineRule="auto"/>
        <w:jc w:val="both"/>
        <w:rPr>
          <w:rFonts w:eastAsia="Times New Roman" w:cstheme="minorHAnsi"/>
          <w:b/>
          <w:bCs/>
          <w:color w:val="222222"/>
          <w:sz w:val="24"/>
          <w:szCs w:val="24"/>
        </w:rPr>
      </w:pPr>
    </w:p>
    <w:p w14:paraId="63A8C837" w14:textId="77777777" w:rsidR="00DE77D0" w:rsidRDefault="00DE77D0" w:rsidP="00A01605">
      <w:pPr>
        <w:spacing w:after="0" w:line="360" w:lineRule="auto"/>
        <w:jc w:val="both"/>
        <w:rPr>
          <w:rFonts w:eastAsia="Times New Roman" w:cstheme="minorHAnsi"/>
          <w:b/>
          <w:bCs/>
          <w:color w:val="222222"/>
          <w:sz w:val="24"/>
          <w:szCs w:val="24"/>
        </w:rPr>
      </w:pPr>
    </w:p>
    <w:p w14:paraId="5D15DE77" w14:textId="77777777" w:rsidR="00DE77D0" w:rsidRDefault="00DE77D0" w:rsidP="00A01605">
      <w:pPr>
        <w:spacing w:after="0" w:line="360" w:lineRule="auto"/>
        <w:jc w:val="both"/>
        <w:rPr>
          <w:rFonts w:eastAsia="Times New Roman" w:cstheme="minorHAnsi"/>
          <w:b/>
          <w:bCs/>
          <w:color w:val="222222"/>
          <w:sz w:val="24"/>
          <w:szCs w:val="24"/>
        </w:rPr>
      </w:pPr>
    </w:p>
    <w:p w14:paraId="2B045811" w14:textId="77777777" w:rsidR="00DE77D0" w:rsidRDefault="00DE77D0" w:rsidP="00A01605">
      <w:pPr>
        <w:spacing w:after="0" w:line="360" w:lineRule="auto"/>
        <w:jc w:val="both"/>
        <w:rPr>
          <w:rFonts w:eastAsia="Times New Roman" w:cstheme="minorHAnsi"/>
          <w:b/>
          <w:bCs/>
          <w:color w:val="222222"/>
          <w:sz w:val="24"/>
          <w:szCs w:val="24"/>
        </w:rPr>
      </w:pPr>
    </w:p>
    <w:p w14:paraId="60B36009" w14:textId="77777777" w:rsidR="00DE77D0" w:rsidRDefault="00DE77D0" w:rsidP="00A01605">
      <w:pPr>
        <w:spacing w:after="0" w:line="360" w:lineRule="auto"/>
        <w:jc w:val="both"/>
        <w:rPr>
          <w:rFonts w:eastAsia="Times New Roman" w:cstheme="minorHAnsi"/>
          <w:b/>
          <w:bCs/>
          <w:color w:val="222222"/>
          <w:sz w:val="24"/>
          <w:szCs w:val="24"/>
        </w:rPr>
      </w:pPr>
    </w:p>
    <w:p w14:paraId="5C782DA2" w14:textId="77777777" w:rsidR="00DE77D0" w:rsidRDefault="00DE77D0" w:rsidP="00A01605">
      <w:pPr>
        <w:spacing w:after="0" w:line="360" w:lineRule="auto"/>
        <w:jc w:val="both"/>
        <w:rPr>
          <w:rFonts w:eastAsia="Times New Roman" w:cstheme="minorHAnsi"/>
          <w:b/>
          <w:bCs/>
          <w:color w:val="222222"/>
          <w:sz w:val="24"/>
          <w:szCs w:val="24"/>
        </w:rPr>
      </w:pPr>
    </w:p>
    <w:p w14:paraId="097B7D11" w14:textId="77777777" w:rsidR="00DE77D0" w:rsidRDefault="00DE77D0" w:rsidP="00A01605">
      <w:pPr>
        <w:spacing w:after="0" w:line="360" w:lineRule="auto"/>
        <w:jc w:val="both"/>
        <w:rPr>
          <w:rFonts w:eastAsia="Times New Roman" w:cstheme="minorHAnsi"/>
          <w:b/>
          <w:bCs/>
          <w:color w:val="222222"/>
          <w:sz w:val="24"/>
          <w:szCs w:val="24"/>
        </w:rPr>
      </w:pPr>
    </w:p>
    <w:p w14:paraId="6179A727" w14:textId="77777777" w:rsidR="00DE77D0" w:rsidRDefault="00DE77D0" w:rsidP="00A01605">
      <w:pPr>
        <w:spacing w:after="0" w:line="360" w:lineRule="auto"/>
        <w:jc w:val="both"/>
        <w:rPr>
          <w:rFonts w:eastAsia="Times New Roman" w:cstheme="minorHAnsi"/>
          <w:b/>
          <w:bCs/>
          <w:color w:val="222222"/>
          <w:sz w:val="24"/>
          <w:szCs w:val="24"/>
        </w:rPr>
      </w:pPr>
    </w:p>
    <w:p w14:paraId="130E62EE" w14:textId="77777777" w:rsidR="00DE77D0" w:rsidRDefault="00DE77D0" w:rsidP="00A01605">
      <w:pPr>
        <w:spacing w:after="0" w:line="360" w:lineRule="auto"/>
        <w:jc w:val="both"/>
        <w:rPr>
          <w:rFonts w:eastAsia="Times New Roman" w:cstheme="minorHAnsi"/>
          <w:b/>
          <w:bCs/>
          <w:color w:val="222222"/>
          <w:sz w:val="24"/>
          <w:szCs w:val="24"/>
        </w:rPr>
      </w:pPr>
    </w:p>
    <w:p w14:paraId="29F5FD2F" w14:textId="77777777" w:rsidR="00DE77D0" w:rsidRDefault="00DE77D0" w:rsidP="00A01605">
      <w:pPr>
        <w:spacing w:after="0" w:line="360" w:lineRule="auto"/>
        <w:jc w:val="both"/>
        <w:rPr>
          <w:rFonts w:eastAsia="Times New Roman" w:cstheme="minorHAnsi"/>
          <w:b/>
          <w:bCs/>
          <w:color w:val="222222"/>
          <w:sz w:val="24"/>
          <w:szCs w:val="24"/>
        </w:rPr>
      </w:pPr>
    </w:p>
    <w:p w14:paraId="5CFEBACE" w14:textId="77777777" w:rsidR="00DE77D0" w:rsidRDefault="00DE77D0" w:rsidP="00A01605">
      <w:pPr>
        <w:spacing w:after="0" w:line="360" w:lineRule="auto"/>
        <w:jc w:val="both"/>
        <w:rPr>
          <w:rFonts w:eastAsia="Times New Roman" w:cstheme="minorHAnsi"/>
          <w:b/>
          <w:bCs/>
          <w:color w:val="222222"/>
          <w:sz w:val="24"/>
          <w:szCs w:val="24"/>
        </w:rPr>
      </w:pPr>
    </w:p>
    <w:p w14:paraId="33515CA9" w14:textId="77777777" w:rsidR="00DE77D0" w:rsidRDefault="00DE77D0" w:rsidP="00A01605">
      <w:pPr>
        <w:spacing w:after="0" w:line="360" w:lineRule="auto"/>
        <w:jc w:val="both"/>
        <w:rPr>
          <w:rFonts w:eastAsia="Times New Roman" w:cstheme="minorHAnsi"/>
          <w:b/>
          <w:bCs/>
          <w:color w:val="222222"/>
          <w:sz w:val="24"/>
          <w:szCs w:val="24"/>
        </w:rPr>
      </w:pPr>
    </w:p>
    <w:p w14:paraId="535C817B" w14:textId="77777777" w:rsidR="00DE77D0" w:rsidRDefault="00DE77D0" w:rsidP="00A01605">
      <w:pPr>
        <w:spacing w:after="0" w:line="360" w:lineRule="auto"/>
        <w:jc w:val="both"/>
        <w:rPr>
          <w:rFonts w:eastAsia="Times New Roman" w:cstheme="minorHAnsi"/>
          <w:b/>
          <w:bCs/>
          <w:color w:val="222222"/>
          <w:sz w:val="24"/>
          <w:szCs w:val="24"/>
        </w:rPr>
      </w:pPr>
    </w:p>
    <w:p w14:paraId="1EE02D78" w14:textId="77777777" w:rsidR="00DE77D0" w:rsidRDefault="00DE77D0" w:rsidP="00A01605">
      <w:pPr>
        <w:spacing w:after="0" w:line="360" w:lineRule="auto"/>
        <w:jc w:val="both"/>
        <w:rPr>
          <w:rFonts w:eastAsia="Times New Roman" w:cstheme="minorHAnsi"/>
          <w:b/>
          <w:bCs/>
          <w:color w:val="222222"/>
          <w:sz w:val="24"/>
          <w:szCs w:val="24"/>
        </w:rPr>
      </w:pPr>
    </w:p>
    <w:p w14:paraId="4F657611" w14:textId="77777777" w:rsidR="004771F2" w:rsidRPr="00A727B3" w:rsidRDefault="004771F2" w:rsidP="00A01605">
      <w:pPr>
        <w:spacing w:after="0" w:line="360" w:lineRule="auto"/>
        <w:jc w:val="both"/>
        <w:rPr>
          <w:rFonts w:eastAsia="Times New Roman" w:cstheme="minorHAnsi"/>
          <w:b/>
          <w:bCs/>
          <w:color w:val="222222"/>
          <w:sz w:val="24"/>
          <w:szCs w:val="24"/>
        </w:rPr>
      </w:pPr>
      <w:r w:rsidRPr="00A727B3">
        <w:rPr>
          <w:rFonts w:eastAsia="Times New Roman" w:cstheme="minorHAnsi"/>
          <w:b/>
          <w:bCs/>
          <w:color w:val="222222"/>
          <w:sz w:val="24"/>
          <w:szCs w:val="24"/>
        </w:rPr>
        <w:lastRenderedPageBreak/>
        <w:t>Τα σημαντικότερα ευρήματα της εξαμηνιαίας έρευνας κλίματος του ΙΜΕ ΓΣΕΒΕΕ είναι τα εξής:</w:t>
      </w:r>
    </w:p>
    <w:p w14:paraId="01FB7A58" w14:textId="77777777" w:rsidR="004771F2" w:rsidRPr="00A727B3" w:rsidRDefault="004771F2" w:rsidP="00A01605">
      <w:pPr>
        <w:spacing w:after="0" w:line="360" w:lineRule="auto"/>
        <w:rPr>
          <w:rFonts w:cstheme="minorHAnsi"/>
          <w:b/>
          <w:sz w:val="24"/>
          <w:szCs w:val="24"/>
          <w:u w:val="single"/>
        </w:rPr>
      </w:pPr>
      <w:r w:rsidRPr="00A727B3">
        <w:rPr>
          <w:rFonts w:cstheme="minorHAnsi"/>
          <w:b/>
          <w:sz w:val="24"/>
          <w:szCs w:val="24"/>
          <w:u w:val="single"/>
        </w:rPr>
        <w:t>Δείκτης οικονομικού κλίματος</w:t>
      </w:r>
    </w:p>
    <w:p w14:paraId="0375A6D4" w14:textId="7F5854B6" w:rsidR="00A727B3" w:rsidRPr="00266760" w:rsidRDefault="00A727B3" w:rsidP="00A727B3">
      <w:pPr>
        <w:pStyle w:val="a3"/>
        <w:numPr>
          <w:ilvl w:val="0"/>
          <w:numId w:val="15"/>
        </w:numPr>
        <w:spacing w:after="0" w:line="360" w:lineRule="auto"/>
        <w:jc w:val="both"/>
        <w:rPr>
          <w:rFonts w:cstheme="minorHAnsi"/>
          <w:sz w:val="24"/>
          <w:szCs w:val="24"/>
        </w:rPr>
      </w:pPr>
      <w:r w:rsidRPr="00266760">
        <w:rPr>
          <w:rFonts w:cstheme="minorHAnsi"/>
          <w:sz w:val="24"/>
          <w:szCs w:val="24"/>
        </w:rPr>
        <w:t>Ο Δείκτης Οικονομικού Κλίματος των μικρών και πολύ μικρών επιχειρήσεων, μετά τη σημαντική ενίσχυση που κατέγραψε το δεύτερο εξάμηνο του 2022 (69,5 μονάδες) και την ήπια υποχώρηση το πρώτο εξάμηνο του 2023 (66,7 μονάδες), υποχώρησε σημαντικά το δεύτερο εξάμηνο του 2023 στις 63,9 μονάδες.</w:t>
      </w:r>
    </w:p>
    <w:p w14:paraId="7951A33D" w14:textId="5CD5F613" w:rsidR="004503F8" w:rsidRPr="00266760" w:rsidRDefault="00266760" w:rsidP="00266760">
      <w:pPr>
        <w:pStyle w:val="a3"/>
        <w:numPr>
          <w:ilvl w:val="0"/>
          <w:numId w:val="15"/>
        </w:numPr>
        <w:spacing w:after="0" w:line="360" w:lineRule="auto"/>
        <w:jc w:val="both"/>
        <w:rPr>
          <w:rFonts w:cstheme="minorHAnsi"/>
          <w:sz w:val="24"/>
          <w:szCs w:val="24"/>
        </w:rPr>
      </w:pPr>
      <w:r w:rsidRPr="00266760">
        <w:rPr>
          <w:rFonts w:cstheme="minorHAnsi"/>
          <w:sz w:val="24"/>
          <w:szCs w:val="24"/>
        </w:rPr>
        <w:t>Το στοιχείο αυτό σε συνδυασμό με τα υπόλοιπα ευρήματα της έρευνας υποδηλώνει ότι η κατάσταση των επιχειρήσεων</w:t>
      </w:r>
      <w:r w:rsidR="0081132D">
        <w:rPr>
          <w:rFonts w:cstheme="minorHAnsi"/>
          <w:sz w:val="24"/>
          <w:szCs w:val="24"/>
        </w:rPr>
        <w:t>,</w:t>
      </w:r>
      <w:r w:rsidRPr="00266760">
        <w:rPr>
          <w:rFonts w:cstheme="minorHAnsi"/>
          <w:sz w:val="24"/>
          <w:szCs w:val="24"/>
        </w:rPr>
        <w:t xml:space="preserve"> μετά τη </w:t>
      </w:r>
      <w:r w:rsidR="0081132D">
        <w:rPr>
          <w:rFonts w:cstheme="minorHAnsi"/>
          <w:sz w:val="24"/>
          <w:szCs w:val="24"/>
        </w:rPr>
        <w:t>βελτίωση</w:t>
      </w:r>
      <w:r w:rsidR="0081132D" w:rsidRPr="00266760">
        <w:rPr>
          <w:rFonts w:cstheme="minorHAnsi"/>
          <w:sz w:val="24"/>
          <w:szCs w:val="24"/>
        </w:rPr>
        <w:t xml:space="preserve"> </w:t>
      </w:r>
      <w:r w:rsidRPr="00266760">
        <w:rPr>
          <w:rFonts w:cstheme="minorHAnsi"/>
          <w:sz w:val="24"/>
          <w:szCs w:val="24"/>
        </w:rPr>
        <w:t xml:space="preserve">και σταθεροποίηση που παρουσίασε, τείνει προς </w:t>
      </w:r>
      <w:r w:rsidR="00593889">
        <w:rPr>
          <w:rFonts w:cstheme="minorHAnsi"/>
          <w:sz w:val="24"/>
          <w:szCs w:val="24"/>
        </w:rPr>
        <w:t>επιδείνωση</w:t>
      </w:r>
      <w:r w:rsidR="00FA799D" w:rsidRPr="00266760">
        <w:rPr>
          <w:rFonts w:cstheme="minorHAnsi"/>
          <w:sz w:val="24"/>
          <w:szCs w:val="24"/>
        </w:rPr>
        <w:t xml:space="preserve"> </w:t>
      </w:r>
      <w:r w:rsidRPr="00266760">
        <w:rPr>
          <w:rFonts w:cstheme="minorHAnsi"/>
          <w:sz w:val="24"/>
          <w:szCs w:val="24"/>
        </w:rPr>
        <w:t>λόγω των αβεβαιοτήτων που συνεχίζουν να υφίστανται</w:t>
      </w:r>
      <w:r w:rsidR="004503F8" w:rsidRPr="00266760">
        <w:rPr>
          <w:rFonts w:cstheme="minorHAnsi"/>
          <w:sz w:val="24"/>
          <w:szCs w:val="24"/>
        </w:rPr>
        <w:t xml:space="preserve">. </w:t>
      </w:r>
    </w:p>
    <w:p w14:paraId="13E972F3" w14:textId="29EE2A3E" w:rsidR="00A01605" w:rsidRPr="00DE77D0" w:rsidRDefault="00266760" w:rsidP="00A01605">
      <w:pPr>
        <w:pStyle w:val="a3"/>
        <w:numPr>
          <w:ilvl w:val="0"/>
          <w:numId w:val="15"/>
        </w:numPr>
        <w:spacing w:after="0" w:line="360" w:lineRule="auto"/>
        <w:jc w:val="both"/>
        <w:rPr>
          <w:rFonts w:cstheme="minorHAnsi"/>
          <w:sz w:val="24"/>
          <w:szCs w:val="24"/>
        </w:rPr>
      </w:pPr>
      <w:r w:rsidRPr="00266760">
        <w:rPr>
          <w:rFonts w:cstheme="minorHAnsi"/>
          <w:sz w:val="24"/>
          <w:szCs w:val="24"/>
        </w:rPr>
        <w:t>Ανάλογη είναι</w:t>
      </w:r>
      <w:r w:rsidR="00FA799D">
        <w:rPr>
          <w:rFonts w:cstheme="minorHAnsi"/>
          <w:sz w:val="24"/>
          <w:szCs w:val="24"/>
        </w:rPr>
        <w:t xml:space="preserve"> η</w:t>
      </w:r>
      <w:r w:rsidRPr="00266760">
        <w:rPr>
          <w:rFonts w:cstheme="minorHAnsi"/>
          <w:sz w:val="24"/>
          <w:szCs w:val="24"/>
        </w:rPr>
        <w:t xml:space="preserve"> εικόνα και στον δείκτη προσδοκιών των </w:t>
      </w:r>
      <w:proofErr w:type="spellStart"/>
      <w:r w:rsidRPr="00266760">
        <w:rPr>
          <w:rFonts w:cstheme="minorHAnsi"/>
          <w:sz w:val="24"/>
          <w:szCs w:val="24"/>
        </w:rPr>
        <w:t>ΜμΕ</w:t>
      </w:r>
      <w:proofErr w:type="spellEnd"/>
      <w:r w:rsidR="00FA799D">
        <w:rPr>
          <w:rFonts w:cstheme="minorHAnsi"/>
          <w:sz w:val="24"/>
          <w:szCs w:val="24"/>
        </w:rPr>
        <w:t>,</w:t>
      </w:r>
      <w:r w:rsidRPr="00266760">
        <w:rPr>
          <w:rFonts w:cstheme="minorHAnsi"/>
          <w:sz w:val="24"/>
          <w:szCs w:val="24"/>
        </w:rPr>
        <w:t xml:space="preserve"> </w:t>
      </w:r>
      <w:r w:rsidR="00FA799D">
        <w:rPr>
          <w:rFonts w:cstheme="minorHAnsi"/>
          <w:sz w:val="24"/>
          <w:szCs w:val="24"/>
        </w:rPr>
        <w:t>ο οποίος,</w:t>
      </w:r>
      <w:r w:rsidRPr="00266760">
        <w:rPr>
          <w:rFonts w:cstheme="minorHAnsi"/>
          <w:sz w:val="24"/>
          <w:szCs w:val="24"/>
        </w:rPr>
        <w:t xml:space="preserve"> μετά από 2 συνεχόμενα εξάμηνα ανόδου, υποχωρεί στις 63,9 μονάδες</w:t>
      </w:r>
      <w:r w:rsidR="00FA799D">
        <w:rPr>
          <w:rFonts w:cstheme="minorHAnsi"/>
          <w:sz w:val="24"/>
          <w:szCs w:val="24"/>
        </w:rPr>
        <w:t>,</w:t>
      </w:r>
      <w:r w:rsidRPr="00266760">
        <w:rPr>
          <w:rFonts w:cstheme="minorHAnsi"/>
          <w:sz w:val="24"/>
          <w:szCs w:val="24"/>
        </w:rPr>
        <w:t xml:space="preserve"> </w:t>
      </w:r>
      <w:r w:rsidR="00FA799D">
        <w:rPr>
          <w:rFonts w:cstheme="minorHAnsi"/>
          <w:sz w:val="24"/>
          <w:szCs w:val="24"/>
        </w:rPr>
        <w:t>γεγονός</w:t>
      </w:r>
      <w:r w:rsidR="00FA799D" w:rsidRPr="00266760">
        <w:rPr>
          <w:rFonts w:cstheme="minorHAnsi"/>
          <w:sz w:val="24"/>
          <w:szCs w:val="24"/>
        </w:rPr>
        <w:t xml:space="preserve"> </w:t>
      </w:r>
      <w:r w:rsidRPr="00266760">
        <w:rPr>
          <w:rFonts w:cstheme="minorHAnsi"/>
          <w:sz w:val="24"/>
          <w:szCs w:val="24"/>
        </w:rPr>
        <w:t xml:space="preserve">που </w:t>
      </w:r>
      <w:r w:rsidR="00FA799D">
        <w:rPr>
          <w:rFonts w:cstheme="minorHAnsi"/>
          <w:sz w:val="24"/>
          <w:szCs w:val="24"/>
        </w:rPr>
        <w:t>υπο</w:t>
      </w:r>
      <w:r w:rsidRPr="00266760">
        <w:rPr>
          <w:rFonts w:cstheme="minorHAnsi"/>
          <w:sz w:val="24"/>
          <w:szCs w:val="24"/>
        </w:rPr>
        <w:t>δε</w:t>
      </w:r>
      <w:r w:rsidR="00FA799D">
        <w:rPr>
          <w:rFonts w:cstheme="minorHAnsi"/>
          <w:sz w:val="24"/>
          <w:szCs w:val="24"/>
        </w:rPr>
        <w:t>ικ</w:t>
      </w:r>
      <w:r w:rsidRPr="00266760">
        <w:rPr>
          <w:rFonts w:cstheme="minorHAnsi"/>
          <w:sz w:val="24"/>
          <w:szCs w:val="24"/>
        </w:rPr>
        <w:t>ν</w:t>
      </w:r>
      <w:r w:rsidR="00FA799D">
        <w:rPr>
          <w:rFonts w:cstheme="minorHAnsi"/>
          <w:sz w:val="24"/>
          <w:szCs w:val="24"/>
        </w:rPr>
        <w:t>ύ</w:t>
      </w:r>
      <w:r w:rsidRPr="00266760">
        <w:rPr>
          <w:rFonts w:cstheme="minorHAnsi"/>
          <w:sz w:val="24"/>
          <w:szCs w:val="24"/>
        </w:rPr>
        <w:t>ει ότι οι επιχειρήσεις είναι λιγότερο αισιόδοξες για το μέλλον.</w:t>
      </w:r>
    </w:p>
    <w:p w14:paraId="3CB9DCE8" w14:textId="77777777" w:rsidR="004771F2" w:rsidRPr="00266760" w:rsidRDefault="004771F2" w:rsidP="00A01605">
      <w:pPr>
        <w:spacing w:after="0" w:line="360" w:lineRule="auto"/>
        <w:rPr>
          <w:rFonts w:cstheme="minorHAnsi"/>
          <w:b/>
          <w:sz w:val="24"/>
          <w:szCs w:val="24"/>
          <w:u w:val="single"/>
        </w:rPr>
      </w:pPr>
      <w:r w:rsidRPr="00266760">
        <w:rPr>
          <w:rFonts w:cstheme="minorHAnsi"/>
          <w:b/>
          <w:sz w:val="24"/>
          <w:szCs w:val="24"/>
          <w:u w:val="single"/>
        </w:rPr>
        <w:t>Κύκλος εργασιών</w:t>
      </w:r>
    </w:p>
    <w:p w14:paraId="3D9021B9" w14:textId="311152BB" w:rsidR="004503F8" w:rsidRPr="00266760" w:rsidRDefault="00266760" w:rsidP="00266760">
      <w:pPr>
        <w:pStyle w:val="a3"/>
        <w:numPr>
          <w:ilvl w:val="0"/>
          <w:numId w:val="4"/>
        </w:numPr>
        <w:spacing w:after="0" w:line="360" w:lineRule="auto"/>
        <w:jc w:val="both"/>
        <w:rPr>
          <w:rFonts w:cstheme="minorHAnsi"/>
          <w:sz w:val="24"/>
          <w:szCs w:val="24"/>
        </w:rPr>
      </w:pPr>
      <w:r w:rsidRPr="00266760">
        <w:rPr>
          <w:rFonts w:cstheme="minorHAnsi"/>
          <w:sz w:val="24"/>
          <w:szCs w:val="24"/>
        </w:rPr>
        <w:t>Το 29,1%</w:t>
      </w:r>
      <w:r w:rsidR="004503F8" w:rsidRPr="00266760">
        <w:rPr>
          <w:rFonts w:cstheme="minorHAnsi"/>
          <w:sz w:val="24"/>
          <w:szCs w:val="24"/>
        </w:rPr>
        <w:t xml:space="preserve"> δήλωσε ότι ο κύκλος εργασιών αυξήθηκε το </w:t>
      </w:r>
      <w:r w:rsidRPr="00266760">
        <w:rPr>
          <w:rFonts w:cstheme="minorHAnsi"/>
          <w:sz w:val="24"/>
          <w:szCs w:val="24"/>
        </w:rPr>
        <w:t>δεύτερο</w:t>
      </w:r>
      <w:r w:rsidR="004503F8" w:rsidRPr="00266760">
        <w:rPr>
          <w:rFonts w:cstheme="minorHAnsi"/>
          <w:sz w:val="24"/>
          <w:szCs w:val="24"/>
        </w:rPr>
        <w:t xml:space="preserve"> εξάμηνο του 2023, έναντι </w:t>
      </w:r>
      <w:r w:rsidRPr="00266760">
        <w:rPr>
          <w:rFonts w:cstheme="minorHAnsi"/>
          <w:sz w:val="24"/>
          <w:szCs w:val="24"/>
        </w:rPr>
        <w:t>34,2</w:t>
      </w:r>
      <w:r w:rsidR="004503F8" w:rsidRPr="00266760">
        <w:rPr>
          <w:rFonts w:cstheme="minorHAnsi"/>
          <w:sz w:val="24"/>
          <w:szCs w:val="24"/>
        </w:rPr>
        <w:t xml:space="preserve">% που δήλωσε ότι μειώθηκε και </w:t>
      </w:r>
      <w:r w:rsidRPr="00266760">
        <w:rPr>
          <w:rFonts w:cstheme="minorHAnsi"/>
          <w:sz w:val="24"/>
          <w:szCs w:val="24"/>
        </w:rPr>
        <w:t>34,6</w:t>
      </w:r>
      <w:r w:rsidR="004503F8" w:rsidRPr="00266760">
        <w:rPr>
          <w:rFonts w:cstheme="minorHAnsi"/>
          <w:sz w:val="24"/>
          <w:szCs w:val="24"/>
        </w:rPr>
        <w:t xml:space="preserve">% που δήλωσε ότι παρέμεινε ο ίδιος. </w:t>
      </w:r>
    </w:p>
    <w:p w14:paraId="6C2BE5AB" w14:textId="2B36060B" w:rsidR="004771F2" w:rsidRPr="00266760" w:rsidRDefault="004771F2" w:rsidP="00A01605">
      <w:pPr>
        <w:pStyle w:val="a3"/>
        <w:numPr>
          <w:ilvl w:val="0"/>
          <w:numId w:val="4"/>
        </w:numPr>
        <w:spacing w:after="0" w:line="360" w:lineRule="auto"/>
        <w:jc w:val="both"/>
        <w:rPr>
          <w:rFonts w:cstheme="minorHAnsi"/>
          <w:sz w:val="24"/>
          <w:szCs w:val="24"/>
        </w:rPr>
      </w:pPr>
      <w:r w:rsidRPr="00266760">
        <w:rPr>
          <w:rFonts w:cstheme="minorHAnsi"/>
          <w:sz w:val="24"/>
          <w:szCs w:val="24"/>
        </w:rPr>
        <w:t xml:space="preserve">Η εικόνα είναι καλύτερη για </w:t>
      </w:r>
      <w:r w:rsidR="004503F8" w:rsidRPr="00266760">
        <w:rPr>
          <w:rFonts w:cstheme="minorHAnsi"/>
          <w:sz w:val="24"/>
          <w:szCs w:val="24"/>
        </w:rPr>
        <w:t xml:space="preserve">τις επιχειρήσεις </w:t>
      </w:r>
      <w:r w:rsidR="00266760" w:rsidRPr="00266760">
        <w:rPr>
          <w:rFonts w:cstheme="minorHAnsi"/>
          <w:sz w:val="24"/>
          <w:szCs w:val="24"/>
        </w:rPr>
        <w:t>του τομέα των</w:t>
      </w:r>
      <w:r w:rsidR="004503F8" w:rsidRPr="00266760">
        <w:rPr>
          <w:rFonts w:cstheme="minorHAnsi"/>
          <w:sz w:val="24"/>
          <w:szCs w:val="24"/>
        </w:rPr>
        <w:t xml:space="preserve"> </w:t>
      </w:r>
      <w:r w:rsidR="00F13717" w:rsidRPr="00266760">
        <w:rPr>
          <w:rFonts w:cstheme="minorHAnsi"/>
          <w:sz w:val="24"/>
          <w:szCs w:val="24"/>
        </w:rPr>
        <w:t>υπηρεσιών</w:t>
      </w:r>
      <w:r w:rsidRPr="00266760">
        <w:rPr>
          <w:rFonts w:cstheme="minorHAnsi"/>
          <w:sz w:val="24"/>
          <w:szCs w:val="24"/>
        </w:rPr>
        <w:t xml:space="preserve"> </w:t>
      </w:r>
      <w:r w:rsidR="00F13717" w:rsidRPr="00266760">
        <w:rPr>
          <w:rFonts w:cstheme="minorHAnsi"/>
          <w:sz w:val="24"/>
          <w:szCs w:val="24"/>
        </w:rPr>
        <w:t xml:space="preserve">έναντι των </w:t>
      </w:r>
      <w:r w:rsidR="00266760" w:rsidRPr="00266760">
        <w:rPr>
          <w:rFonts w:cstheme="minorHAnsi"/>
          <w:sz w:val="24"/>
          <w:szCs w:val="24"/>
        </w:rPr>
        <w:t xml:space="preserve">μεταποιητικών και </w:t>
      </w:r>
      <w:r w:rsidR="00F13717" w:rsidRPr="00266760">
        <w:rPr>
          <w:rFonts w:cstheme="minorHAnsi"/>
          <w:sz w:val="24"/>
          <w:szCs w:val="24"/>
        </w:rPr>
        <w:t>εμπορικών επιχειρήσεων</w:t>
      </w:r>
      <w:r w:rsidRPr="00266760">
        <w:rPr>
          <w:rFonts w:cstheme="minorHAnsi"/>
          <w:sz w:val="24"/>
          <w:szCs w:val="24"/>
        </w:rPr>
        <w:t xml:space="preserve">. </w:t>
      </w:r>
    </w:p>
    <w:p w14:paraId="75F7AA3F" w14:textId="30D76397" w:rsidR="00F13717" w:rsidRPr="00DE77D0" w:rsidRDefault="00F13717" w:rsidP="00A01605">
      <w:pPr>
        <w:pStyle w:val="a3"/>
        <w:numPr>
          <w:ilvl w:val="0"/>
          <w:numId w:val="4"/>
        </w:numPr>
        <w:spacing w:after="0" w:line="360" w:lineRule="auto"/>
        <w:jc w:val="both"/>
        <w:rPr>
          <w:rFonts w:cstheme="minorHAnsi"/>
          <w:sz w:val="24"/>
          <w:szCs w:val="24"/>
        </w:rPr>
      </w:pPr>
      <w:r w:rsidRPr="00266760">
        <w:rPr>
          <w:rFonts w:cstheme="minorHAnsi"/>
          <w:sz w:val="24"/>
          <w:szCs w:val="24"/>
        </w:rPr>
        <w:t xml:space="preserve">Επιπλέον, </w:t>
      </w:r>
      <w:r w:rsidR="00830ADA" w:rsidRPr="00266760">
        <w:rPr>
          <w:rFonts w:cstheme="minorHAnsi"/>
          <w:sz w:val="24"/>
          <w:szCs w:val="24"/>
        </w:rPr>
        <w:t>παρατηρείται μια</w:t>
      </w:r>
      <w:r w:rsidRPr="00266760">
        <w:rPr>
          <w:rFonts w:cstheme="minorHAnsi"/>
          <w:sz w:val="24"/>
          <w:szCs w:val="24"/>
        </w:rPr>
        <w:t xml:space="preserve"> θετική σχέση μεταξύ του μεγέθους των επιχειρήσεων και της εξέλιξης στον κύκλο εργασιών, αφού οι μεγαλύτερες επιχειρήσεις με βάση τόσο τον κύκλο εργασιών (πάνω από 300.000</w:t>
      </w:r>
      <w:r w:rsidR="00FA799D">
        <w:rPr>
          <w:rFonts w:cstheme="minorHAnsi"/>
          <w:sz w:val="24"/>
          <w:szCs w:val="24"/>
        </w:rPr>
        <w:t xml:space="preserve"> </w:t>
      </w:r>
      <w:r w:rsidRPr="00266760">
        <w:rPr>
          <w:rFonts w:cstheme="minorHAnsi"/>
          <w:sz w:val="24"/>
          <w:szCs w:val="24"/>
        </w:rPr>
        <w:t>€) όσο και τον αριθμό εργαζομένων (πάνω από 5 άτομα) παρουσιάζουν σημαντικά καλύτερες επιδόσεις σε σχέση με τις μικρότερες επιχειρήσεις</w:t>
      </w:r>
      <w:r w:rsidR="00EE3DCA">
        <w:rPr>
          <w:rFonts w:cstheme="minorHAnsi"/>
          <w:sz w:val="24"/>
          <w:szCs w:val="24"/>
        </w:rPr>
        <w:t xml:space="preserve"> </w:t>
      </w:r>
      <w:r w:rsidRPr="00266760">
        <w:rPr>
          <w:rFonts w:cstheme="minorHAnsi"/>
          <w:sz w:val="24"/>
          <w:szCs w:val="24"/>
        </w:rPr>
        <w:t>(έως 50.000 € κύκλο εργασιών ή/και χωρίς προσωπικό)</w:t>
      </w:r>
      <w:r w:rsidR="004771F2" w:rsidRPr="00266760">
        <w:rPr>
          <w:rFonts w:cstheme="minorHAnsi"/>
          <w:sz w:val="24"/>
          <w:szCs w:val="24"/>
        </w:rPr>
        <w:t xml:space="preserve">. </w:t>
      </w:r>
    </w:p>
    <w:p w14:paraId="33449F36" w14:textId="51AC2486" w:rsidR="007D6DDA" w:rsidRPr="001C4593" w:rsidRDefault="007D6DDA" w:rsidP="00A01605">
      <w:pPr>
        <w:spacing w:after="0" w:line="360" w:lineRule="auto"/>
        <w:rPr>
          <w:rFonts w:cstheme="minorHAnsi"/>
          <w:b/>
          <w:sz w:val="24"/>
          <w:szCs w:val="24"/>
          <w:u w:val="single"/>
        </w:rPr>
      </w:pPr>
      <w:r w:rsidRPr="001C4593">
        <w:rPr>
          <w:rFonts w:cstheme="minorHAnsi"/>
          <w:b/>
          <w:sz w:val="24"/>
          <w:szCs w:val="24"/>
          <w:u w:val="single"/>
        </w:rPr>
        <w:t>Αποτελέσματα χρήσης</w:t>
      </w:r>
    </w:p>
    <w:p w14:paraId="22341939" w14:textId="5214743E" w:rsidR="00BB5069" w:rsidRPr="001C4593" w:rsidRDefault="00F13717" w:rsidP="00A01605">
      <w:pPr>
        <w:pStyle w:val="a3"/>
        <w:numPr>
          <w:ilvl w:val="0"/>
          <w:numId w:val="16"/>
        </w:numPr>
        <w:spacing w:line="360" w:lineRule="auto"/>
        <w:jc w:val="both"/>
        <w:rPr>
          <w:rFonts w:cstheme="minorHAnsi"/>
          <w:sz w:val="24"/>
          <w:szCs w:val="24"/>
        </w:rPr>
      </w:pPr>
      <w:r w:rsidRPr="001C4593">
        <w:rPr>
          <w:rFonts w:cstheme="minorHAnsi"/>
          <w:sz w:val="24"/>
          <w:szCs w:val="24"/>
        </w:rPr>
        <w:t>Τα ευρήματα για τα αποτελέσματα</w:t>
      </w:r>
      <w:r w:rsidR="00266760" w:rsidRPr="001C4593">
        <w:rPr>
          <w:rFonts w:cstheme="minorHAnsi"/>
          <w:sz w:val="24"/>
          <w:szCs w:val="24"/>
        </w:rPr>
        <w:t xml:space="preserve"> χρήσης των επιχειρήσεων το 2023</w:t>
      </w:r>
      <w:r w:rsidRPr="001C4593">
        <w:rPr>
          <w:rFonts w:cstheme="minorHAnsi"/>
          <w:sz w:val="24"/>
          <w:szCs w:val="24"/>
        </w:rPr>
        <w:t xml:space="preserve"> (κέρδη ή </w:t>
      </w:r>
      <w:r w:rsidR="00FA799D" w:rsidRPr="001C4593">
        <w:rPr>
          <w:rFonts w:cstheme="minorHAnsi"/>
          <w:sz w:val="24"/>
          <w:szCs w:val="24"/>
        </w:rPr>
        <w:t>ζημ</w:t>
      </w:r>
      <w:r w:rsidR="00FA799D">
        <w:rPr>
          <w:rFonts w:cstheme="minorHAnsi"/>
          <w:sz w:val="24"/>
          <w:szCs w:val="24"/>
        </w:rPr>
        <w:t>ίε</w:t>
      </w:r>
      <w:r w:rsidR="00FA799D" w:rsidRPr="001C4593">
        <w:rPr>
          <w:rFonts w:cstheme="minorHAnsi"/>
          <w:sz w:val="24"/>
          <w:szCs w:val="24"/>
        </w:rPr>
        <w:t>ς</w:t>
      </w:r>
      <w:r w:rsidRPr="001C4593">
        <w:rPr>
          <w:rFonts w:cstheme="minorHAnsi"/>
          <w:sz w:val="24"/>
          <w:szCs w:val="24"/>
        </w:rPr>
        <w:t xml:space="preserve">) </w:t>
      </w:r>
      <w:r w:rsidR="00BB5069" w:rsidRPr="001C4593">
        <w:rPr>
          <w:rFonts w:cstheme="minorHAnsi"/>
          <w:sz w:val="24"/>
          <w:szCs w:val="24"/>
        </w:rPr>
        <w:t>είναι καλύτερα</w:t>
      </w:r>
      <w:r w:rsidRPr="001C4593">
        <w:rPr>
          <w:rFonts w:cstheme="minorHAnsi"/>
          <w:sz w:val="24"/>
          <w:szCs w:val="24"/>
        </w:rPr>
        <w:t xml:space="preserve"> σε σχέση με </w:t>
      </w:r>
      <w:r w:rsidR="00266760" w:rsidRPr="001C4593">
        <w:rPr>
          <w:rFonts w:cstheme="minorHAnsi"/>
          <w:sz w:val="24"/>
          <w:szCs w:val="24"/>
        </w:rPr>
        <w:t>το 2022</w:t>
      </w:r>
      <w:r w:rsidRPr="001C4593">
        <w:rPr>
          <w:rFonts w:cstheme="minorHAnsi"/>
          <w:sz w:val="24"/>
          <w:szCs w:val="24"/>
        </w:rPr>
        <w:t xml:space="preserve">. </w:t>
      </w:r>
    </w:p>
    <w:p w14:paraId="73600D60" w14:textId="11BA9829" w:rsidR="001C4593" w:rsidRPr="001C4593" w:rsidRDefault="00BB5069" w:rsidP="00A01605">
      <w:pPr>
        <w:pStyle w:val="a3"/>
        <w:numPr>
          <w:ilvl w:val="0"/>
          <w:numId w:val="16"/>
        </w:numPr>
        <w:spacing w:line="360" w:lineRule="auto"/>
        <w:jc w:val="both"/>
        <w:rPr>
          <w:rFonts w:cstheme="minorHAnsi"/>
          <w:sz w:val="24"/>
          <w:szCs w:val="24"/>
        </w:rPr>
      </w:pPr>
      <w:r w:rsidRPr="001C4593">
        <w:rPr>
          <w:rFonts w:cstheme="minorHAnsi"/>
          <w:sz w:val="24"/>
          <w:szCs w:val="24"/>
        </w:rPr>
        <w:t>Ειδικότερα</w:t>
      </w:r>
      <w:r w:rsidR="002A29B5" w:rsidRPr="001C4593">
        <w:rPr>
          <w:rFonts w:cstheme="minorHAnsi"/>
          <w:sz w:val="24"/>
          <w:szCs w:val="24"/>
        </w:rPr>
        <w:t>,</w:t>
      </w:r>
      <w:r w:rsidRPr="001C4593">
        <w:rPr>
          <w:rFonts w:cstheme="minorHAnsi"/>
          <w:sz w:val="24"/>
          <w:szCs w:val="24"/>
        </w:rPr>
        <w:t xml:space="preserve"> </w:t>
      </w:r>
      <w:r w:rsidR="00266760" w:rsidRPr="001C4593">
        <w:rPr>
          <w:rFonts w:cstheme="minorHAnsi"/>
          <w:sz w:val="24"/>
          <w:szCs w:val="24"/>
        </w:rPr>
        <w:t>περίπου 6 στις 10</w:t>
      </w:r>
      <w:r w:rsidRPr="001C4593">
        <w:rPr>
          <w:rFonts w:cstheme="minorHAnsi"/>
          <w:sz w:val="24"/>
          <w:szCs w:val="24"/>
        </w:rPr>
        <w:t xml:space="preserve"> επιχειρήσεις (</w:t>
      </w:r>
      <w:r w:rsidR="00266760" w:rsidRPr="001C4593">
        <w:rPr>
          <w:rFonts w:cstheme="minorHAnsi"/>
          <w:sz w:val="24"/>
          <w:szCs w:val="24"/>
        </w:rPr>
        <w:t>57,3</w:t>
      </w:r>
      <w:r w:rsidR="00F13717" w:rsidRPr="001C4593">
        <w:rPr>
          <w:rFonts w:cstheme="minorHAnsi"/>
          <w:sz w:val="24"/>
          <w:szCs w:val="24"/>
        </w:rPr>
        <w:t>%</w:t>
      </w:r>
      <w:r w:rsidRPr="001C4593">
        <w:rPr>
          <w:rFonts w:cstheme="minorHAnsi"/>
          <w:sz w:val="24"/>
          <w:szCs w:val="24"/>
        </w:rPr>
        <w:t>)</w:t>
      </w:r>
      <w:r w:rsidR="00266760" w:rsidRPr="001C4593">
        <w:rPr>
          <w:rFonts w:cstheme="minorHAnsi"/>
          <w:sz w:val="24"/>
          <w:szCs w:val="24"/>
        </w:rPr>
        <w:t xml:space="preserve"> </w:t>
      </w:r>
      <w:r w:rsidR="00FA799D" w:rsidRPr="001C4593">
        <w:rPr>
          <w:rFonts w:cstheme="minorHAnsi"/>
          <w:sz w:val="24"/>
          <w:szCs w:val="24"/>
        </w:rPr>
        <w:t>δήλωσ</w:t>
      </w:r>
      <w:r w:rsidR="00FA799D">
        <w:rPr>
          <w:rFonts w:cstheme="minorHAnsi"/>
          <w:sz w:val="24"/>
          <w:szCs w:val="24"/>
        </w:rPr>
        <w:t>αν</w:t>
      </w:r>
      <w:r w:rsidR="00FA799D" w:rsidRPr="001C4593">
        <w:rPr>
          <w:rFonts w:cstheme="minorHAnsi"/>
          <w:sz w:val="24"/>
          <w:szCs w:val="24"/>
        </w:rPr>
        <w:t xml:space="preserve"> </w:t>
      </w:r>
      <w:r w:rsidR="00266760" w:rsidRPr="001C4593">
        <w:rPr>
          <w:rFonts w:cstheme="minorHAnsi"/>
          <w:sz w:val="24"/>
          <w:szCs w:val="24"/>
        </w:rPr>
        <w:t xml:space="preserve">ότι </w:t>
      </w:r>
      <w:r w:rsidR="00FA799D" w:rsidRPr="001C4593">
        <w:rPr>
          <w:rFonts w:cstheme="minorHAnsi"/>
          <w:sz w:val="24"/>
          <w:szCs w:val="24"/>
        </w:rPr>
        <w:t>είχ</w:t>
      </w:r>
      <w:r w:rsidR="00FA799D">
        <w:rPr>
          <w:rFonts w:cstheme="minorHAnsi"/>
          <w:sz w:val="24"/>
          <w:szCs w:val="24"/>
        </w:rPr>
        <w:t>αν</w:t>
      </w:r>
      <w:r w:rsidR="00FA799D" w:rsidRPr="001C4593">
        <w:rPr>
          <w:rFonts w:cstheme="minorHAnsi"/>
          <w:sz w:val="24"/>
          <w:szCs w:val="24"/>
        </w:rPr>
        <w:t xml:space="preserve"> </w:t>
      </w:r>
      <w:r w:rsidR="00266760" w:rsidRPr="001C4593">
        <w:rPr>
          <w:rFonts w:cstheme="minorHAnsi"/>
          <w:sz w:val="24"/>
          <w:szCs w:val="24"/>
        </w:rPr>
        <w:t>κέρδη το 2023</w:t>
      </w:r>
      <w:r w:rsidR="00FA799D">
        <w:rPr>
          <w:rFonts w:cstheme="minorHAnsi"/>
          <w:sz w:val="24"/>
          <w:szCs w:val="24"/>
        </w:rPr>
        <w:t>,</w:t>
      </w:r>
      <w:r w:rsidR="00266760" w:rsidRPr="001C4593">
        <w:rPr>
          <w:rFonts w:cstheme="minorHAnsi"/>
          <w:sz w:val="24"/>
          <w:szCs w:val="24"/>
        </w:rPr>
        <w:t xml:space="preserve"> ποσοστό</w:t>
      </w:r>
      <w:r w:rsidR="00EE3DCA">
        <w:rPr>
          <w:rFonts w:cstheme="minorHAnsi"/>
          <w:sz w:val="24"/>
          <w:szCs w:val="24"/>
        </w:rPr>
        <w:t xml:space="preserve"> </w:t>
      </w:r>
      <w:r w:rsidR="00F13717" w:rsidRPr="001C4593">
        <w:rPr>
          <w:rFonts w:cstheme="minorHAnsi"/>
          <w:sz w:val="24"/>
          <w:szCs w:val="24"/>
        </w:rPr>
        <w:t xml:space="preserve">αυξημένο σε σχέση </w:t>
      </w:r>
      <w:r w:rsidR="00266760" w:rsidRPr="001C4593">
        <w:rPr>
          <w:rFonts w:cstheme="minorHAnsi"/>
          <w:sz w:val="24"/>
          <w:szCs w:val="24"/>
        </w:rPr>
        <w:t>με το 2022</w:t>
      </w:r>
      <w:r w:rsidR="00FA799D">
        <w:rPr>
          <w:rFonts w:cstheme="minorHAnsi"/>
          <w:sz w:val="24"/>
          <w:szCs w:val="24"/>
        </w:rPr>
        <w:t xml:space="preserve"> </w:t>
      </w:r>
      <w:r w:rsidR="00266760" w:rsidRPr="001C4593">
        <w:rPr>
          <w:rFonts w:cstheme="minorHAnsi"/>
          <w:sz w:val="24"/>
          <w:szCs w:val="24"/>
        </w:rPr>
        <w:t>(51%).</w:t>
      </w:r>
      <w:r w:rsidR="00EE3DCA">
        <w:rPr>
          <w:rFonts w:cstheme="minorHAnsi"/>
          <w:sz w:val="24"/>
          <w:szCs w:val="24"/>
        </w:rPr>
        <w:t xml:space="preserve"> </w:t>
      </w:r>
    </w:p>
    <w:p w14:paraId="1096C414" w14:textId="35243959" w:rsidR="001C4593" w:rsidRPr="00DE77D0" w:rsidRDefault="001C4593" w:rsidP="001C4593">
      <w:pPr>
        <w:pStyle w:val="a3"/>
        <w:numPr>
          <w:ilvl w:val="0"/>
          <w:numId w:val="16"/>
        </w:numPr>
        <w:spacing w:after="0" w:line="360" w:lineRule="auto"/>
        <w:jc w:val="both"/>
        <w:rPr>
          <w:rFonts w:cstheme="minorHAnsi"/>
          <w:b/>
          <w:sz w:val="24"/>
          <w:szCs w:val="24"/>
          <w:u w:val="single"/>
        </w:rPr>
      </w:pPr>
      <w:r w:rsidRPr="001C4593">
        <w:rPr>
          <w:rFonts w:cstheme="minorHAnsi"/>
          <w:sz w:val="24"/>
          <w:szCs w:val="24"/>
        </w:rPr>
        <w:t>Από την άλλη μεριά</w:t>
      </w:r>
      <w:r w:rsidR="00FA799D">
        <w:rPr>
          <w:rFonts w:cstheme="minorHAnsi"/>
          <w:sz w:val="24"/>
          <w:szCs w:val="24"/>
        </w:rPr>
        <w:t>,</w:t>
      </w:r>
      <w:r w:rsidRPr="001C4593">
        <w:rPr>
          <w:rFonts w:cstheme="minorHAnsi"/>
          <w:sz w:val="24"/>
          <w:szCs w:val="24"/>
        </w:rPr>
        <w:t xml:space="preserve"> το 19,2% των επιχειρήσεων δήλωσε </w:t>
      </w:r>
      <w:r w:rsidR="00FA799D" w:rsidRPr="001C4593">
        <w:rPr>
          <w:rFonts w:cstheme="minorHAnsi"/>
          <w:sz w:val="24"/>
          <w:szCs w:val="24"/>
        </w:rPr>
        <w:t>ζημ</w:t>
      </w:r>
      <w:r w:rsidR="00FA799D">
        <w:rPr>
          <w:rFonts w:cstheme="minorHAnsi"/>
          <w:sz w:val="24"/>
          <w:szCs w:val="24"/>
        </w:rPr>
        <w:t>ίε</w:t>
      </w:r>
      <w:r w:rsidR="00FA799D" w:rsidRPr="001C4593">
        <w:rPr>
          <w:rFonts w:cstheme="minorHAnsi"/>
          <w:sz w:val="24"/>
          <w:szCs w:val="24"/>
        </w:rPr>
        <w:t xml:space="preserve">ς </w:t>
      </w:r>
      <w:r w:rsidRPr="001C4593">
        <w:rPr>
          <w:rFonts w:cstheme="minorHAnsi"/>
          <w:sz w:val="24"/>
          <w:szCs w:val="24"/>
        </w:rPr>
        <w:t xml:space="preserve">(22,4% το αντίστοιχο ποσοστό το 2022), ενώ </w:t>
      </w:r>
      <w:r w:rsidR="00DE5D67">
        <w:rPr>
          <w:rFonts w:cstheme="minorHAnsi"/>
          <w:sz w:val="24"/>
          <w:szCs w:val="24"/>
        </w:rPr>
        <w:t xml:space="preserve">το </w:t>
      </w:r>
      <w:r w:rsidRPr="001C4593">
        <w:rPr>
          <w:rFonts w:cstheme="minorHAnsi"/>
          <w:sz w:val="24"/>
          <w:szCs w:val="24"/>
        </w:rPr>
        <w:t xml:space="preserve">13,7% των επιχειρήσεων δήλωσε πως δεν είχε ούτε κέρδη, ούτε </w:t>
      </w:r>
      <w:r w:rsidR="00DE5D67" w:rsidRPr="001C4593">
        <w:rPr>
          <w:rFonts w:cstheme="minorHAnsi"/>
          <w:sz w:val="24"/>
          <w:szCs w:val="24"/>
        </w:rPr>
        <w:t>ζημ</w:t>
      </w:r>
      <w:r w:rsidR="00DE5D67">
        <w:rPr>
          <w:rFonts w:cstheme="minorHAnsi"/>
          <w:sz w:val="24"/>
          <w:szCs w:val="24"/>
        </w:rPr>
        <w:t>ίε</w:t>
      </w:r>
      <w:r w:rsidR="00DE5D67" w:rsidRPr="001C4593">
        <w:rPr>
          <w:rFonts w:cstheme="minorHAnsi"/>
          <w:sz w:val="24"/>
          <w:szCs w:val="24"/>
        </w:rPr>
        <w:t xml:space="preserve">ς </w:t>
      </w:r>
      <w:r w:rsidRPr="001C4593">
        <w:rPr>
          <w:rFonts w:cstheme="minorHAnsi"/>
          <w:sz w:val="24"/>
          <w:szCs w:val="24"/>
        </w:rPr>
        <w:t>(16,1% το αντίστοιχο ποσοστό το 2022).</w:t>
      </w:r>
      <w:r w:rsidR="00EE3DCA">
        <w:rPr>
          <w:rFonts w:cstheme="minorHAnsi"/>
          <w:sz w:val="24"/>
          <w:szCs w:val="24"/>
        </w:rPr>
        <w:t xml:space="preserve"> </w:t>
      </w:r>
    </w:p>
    <w:p w14:paraId="193D09A5" w14:textId="77777777" w:rsidR="00DE77D0" w:rsidRPr="00DE77D0" w:rsidRDefault="00DE77D0" w:rsidP="00DE77D0">
      <w:pPr>
        <w:pStyle w:val="a3"/>
        <w:spacing w:after="0" w:line="360" w:lineRule="auto"/>
        <w:ind w:left="360"/>
        <w:jc w:val="both"/>
        <w:rPr>
          <w:rFonts w:cstheme="minorHAnsi"/>
          <w:b/>
          <w:sz w:val="24"/>
          <w:szCs w:val="24"/>
          <w:u w:val="single"/>
        </w:rPr>
      </w:pPr>
    </w:p>
    <w:p w14:paraId="15BF549B" w14:textId="77777777" w:rsidR="004771F2" w:rsidRPr="00473C01" w:rsidRDefault="004771F2" w:rsidP="00A01605">
      <w:pPr>
        <w:spacing w:after="0" w:line="360" w:lineRule="auto"/>
        <w:rPr>
          <w:rFonts w:cstheme="minorHAnsi"/>
          <w:b/>
          <w:sz w:val="24"/>
          <w:szCs w:val="24"/>
          <w:u w:val="single"/>
        </w:rPr>
      </w:pPr>
      <w:r w:rsidRPr="00473C01">
        <w:rPr>
          <w:rFonts w:cstheme="minorHAnsi"/>
          <w:b/>
          <w:sz w:val="24"/>
          <w:szCs w:val="24"/>
          <w:u w:val="single"/>
        </w:rPr>
        <w:lastRenderedPageBreak/>
        <w:t>Ρευστότητα – Ταμειακά διαθέσιμα</w:t>
      </w:r>
    </w:p>
    <w:p w14:paraId="681D8351" w14:textId="4EA816C0" w:rsidR="004771F2" w:rsidRPr="001C4593" w:rsidRDefault="00BB5069" w:rsidP="00A01605">
      <w:pPr>
        <w:pStyle w:val="a3"/>
        <w:numPr>
          <w:ilvl w:val="0"/>
          <w:numId w:val="4"/>
        </w:numPr>
        <w:spacing w:after="0" w:line="360" w:lineRule="auto"/>
        <w:jc w:val="both"/>
        <w:rPr>
          <w:rFonts w:cstheme="minorHAnsi"/>
          <w:sz w:val="24"/>
          <w:szCs w:val="24"/>
        </w:rPr>
      </w:pPr>
      <w:r w:rsidRPr="001C4593">
        <w:rPr>
          <w:rFonts w:cstheme="minorHAnsi"/>
          <w:sz w:val="24"/>
          <w:szCs w:val="24"/>
        </w:rPr>
        <w:t xml:space="preserve">Περισσότερες από </w:t>
      </w:r>
      <w:r w:rsidR="001C4593" w:rsidRPr="001C4593">
        <w:rPr>
          <w:rFonts w:cstheme="minorHAnsi"/>
          <w:sz w:val="24"/>
          <w:szCs w:val="24"/>
        </w:rPr>
        <w:t xml:space="preserve">4 στις 10 (42,4%) </w:t>
      </w:r>
      <w:r w:rsidRPr="001C4593">
        <w:rPr>
          <w:rFonts w:cstheme="minorHAnsi"/>
          <w:sz w:val="24"/>
          <w:szCs w:val="24"/>
        </w:rPr>
        <w:t xml:space="preserve">μικρές και πολύ μικρές επιχειρήσεις </w:t>
      </w:r>
      <w:r w:rsidR="00DE5D67" w:rsidRPr="001C4593">
        <w:rPr>
          <w:rFonts w:cstheme="minorHAnsi"/>
          <w:sz w:val="24"/>
          <w:szCs w:val="24"/>
        </w:rPr>
        <w:t>δήλωσ</w:t>
      </w:r>
      <w:r w:rsidR="00DE5D67">
        <w:rPr>
          <w:rFonts w:cstheme="minorHAnsi"/>
          <w:sz w:val="24"/>
          <w:szCs w:val="24"/>
        </w:rPr>
        <w:t>αν</w:t>
      </w:r>
      <w:r w:rsidR="00DE5D67" w:rsidRPr="001C4593">
        <w:rPr>
          <w:rFonts w:cstheme="minorHAnsi"/>
          <w:sz w:val="24"/>
          <w:szCs w:val="24"/>
        </w:rPr>
        <w:t xml:space="preserve"> </w:t>
      </w:r>
      <w:r w:rsidRPr="001C4593">
        <w:rPr>
          <w:rFonts w:cstheme="minorHAnsi"/>
          <w:sz w:val="24"/>
          <w:szCs w:val="24"/>
        </w:rPr>
        <w:t xml:space="preserve">μείωση της ρευστότητας το </w:t>
      </w:r>
      <w:r w:rsidR="001C4593" w:rsidRPr="001C4593">
        <w:rPr>
          <w:rFonts w:cstheme="minorHAnsi"/>
          <w:sz w:val="24"/>
          <w:szCs w:val="24"/>
        </w:rPr>
        <w:t>δεύτερο</w:t>
      </w:r>
      <w:r w:rsidRPr="001C4593">
        <w:rPr>
          <w:rFonts w:cstheme="minorHAnsi"/>
          <w:sz w:val="24"/>
          <w:szCs w:val="24"/>
        </w:rPr>
        <w:t xml:space="preserve"> εξάμηνο του 2023. Από την άλλη μεριά</w:t>
      </w:r>
      <w:r w:rsidR="002A29B5" w:rsidRPr="001C4593">
        <w:rPr>
          <w:rFonts w:cstheme="minorHAnsi"/>
          <w:sz w:val="24"/>
          <w:szCs w:val="24"/>
        </w:rPr>
        <w:t>,</w:t>
      </w:r>
      <w:r w:rsidRPr="001C4593">
        <w:rPr>
          <w:rFonts w:cstheme="minorHAnsi"/>
          <w:sz w:val="24"/>
          <w:szCs w:val="24"/>
        </w:rPr>
        <w:t xml:space="preserve"> το </w:t>
      </w:r>
      <w:r w:rsidR="001C4593" w:rsidRPr="001C4593">
        <w:rPr>
          <w:rFonts w:cstheme="minorHAnsi"/>
          <w:sz w:val="24"/>
          <w:szCs w:val="24"/>
        </w:rPr>
        <w:t>21,5</w:t>
      </w:r>
      <w:r w:rsidRPr="001C4593">
        <w:rPr>
          <w:rFonts w:cstheme="minorHAnsi"/>
          <w:sz w:val="24"/>
          <w:szCs w:val="24"/>
        </w:rPr>
        <w:t xml:space="preserve">% δήλωσε αύξηση, ενώ για το </w:t>
      </w:r>
      <w:r w:rsidR="001C4593" w:rsidRPr="001C4593">
        <w:rPr>
          <w:rFonts w:cstheme="minorHAnsi"/>
          <w:sz w:val="24"/>
          <w:szCs w:val="24"/>
        </w:rPr>
        <w:t>35,6</w:t>
      </w:r>
      <w:r w:rsidRPr="001C4593">
        <w:rPr>
          <w:rFonts w:cstheme="minorHAnsi"/>
          <w:sz w:val="24"/>
          <w:szCs w:val="24"/>
        </w:rPr>
        <w:t>% η κατάσταση δεν μεταβλήθηκε.</w:t>
      </w:r>
      <w:r w:rsidR="00EE3DCA">
        <w:rPr>
          <w:rFonts w:cstheme="minorHAnsi"/>
          <w:sz w:val="24"/>
          <w:szCs w:val="24"/>
        </w:rPr>
        <w:t xml:space="preserve"> </w:t>
      </w:r>
    </w:p>
    <w:p w14:paraId="261F2829" w14:textId="652A910B" w:rsidR="0003359C" w:rsidRPr="001C4593" w:rsidRDefault="00BB5069" w:rsidP="00A01605">
      <w:pPr>
        <w:pStyle w:val="a3"/>
        <w:numPr>
          <w:ilvl w:val="0"/>
          <w:numId w:val="4"/>
        </w:numPr>
        <w:spacing w:after="0" w:line="360" w:lineRule="auto"/>
        <w:jc w:val="both"/>
        <w:rPr>
          <w:rFonts w:eastAsia="Calibri" w:cstheme="minorHAnsi"/>
          <w:sz w:val="24"/>
          <w:szCs w:val="24"/>
        </w:rPr>
      </w:pPr>
      <w:r w:rsidRPr="001C4593">
        <w:rPr>
          <w:rFonts w:eastAsia="Calibri" w:cstheme="minorHAnsi"/>
          <w:sz w:val="24"/>
          <w:szCs w:val="24"/>
        </w:rPr>
        <w:t>Ως προς τα ρευστά διαθέσιμα</w:t>
      </w:r>
      <w:r w:rsidR="002A29B5" w:rsidRPr="001C4593">
        <w:rPr>
          <w:rFonts w:eastAsia="Calibri" w:cstheme="minorHAnsi"/>
          <w:sz w:val="24"/>
          <w:szCs w:val="24"/>
        </w:rPr>
        <w:t>,</w:t>
      </w:r>
      <w:r w:rsidRPr="001C4593">
        <w:rPr>
          <w:rFonts w:eastAsia="Calibri" w:cstheme="minorHAnsi"/>
          <w:sz w:val="24"/>
          <w:szCs w:val="24"/>
        </w:rPr>
        <w:t xml:space="preserve"> η κατάσταση παραμένει ιδιαίτερα</w:t>
      </w:r>
      <w:r w:rsidR="0003359C" w:rsidRPr="001C4593">
        <w:rPr>
          <w:rFonts w:eastAsia="Calibri" w:cstheme="minorHAnsi"/>
          <w:sz w:val="24"/>
          <w:szCs w:val="24"/>
        </w:rPr>
        <w:t xml:space="preserve"> δύσκολη για ένα πολύ μεγάλο μέρος των μικρών και πολύ μικρών επιχειρήσεων. </w:t>
      </w:r>
    </w:p>
    <w:p w14:paraId="14546D56" w14:textId="25E8FEE5" w:rsidR="0003359C" w:rsidRPr="001C4593" w:rsidRDefault="00BB5069" w:rsidP="00A01605">
      <w:pPr>
        <w:pStyle w:val="a3"/>
        <w:numPr>
          <w:ilvl w:val="0"/>
          <w:numId w:val="4"/>
        </w:numPr>
        <w:spacing w:after="0" w:line="360" w:lineRule="auto"/>
        <w:jc w:val="both"/>
        <w:rPr>
          <w:rFonts w:eastAsia="Calibri" w:cstheme="minorHAnsi"/>
          <w:sz w:val="24"/>
          <w:szCs w:val="24"/>
        </w:rPr>
      </w:pPr>
      <w:r w:rsidRPr="001C4593">
        <w:rPr>
          <w:rFonts w:eastAsia="Calibri" w:cstheme="minorHAnsi"/>
          <w:sz w:val="24"/>
          <w:szCs w:val="24"/>
        </w:rPr>
        <w:t xml:space="preserve">Συγκεκριμένα, το </w:t>
      </w:r>
      <w:r w:rsidR="001C4593" w:rsidRPr="001C4593">
        <w:rPr>
          <w:rFonts w:eastAsia="Calibri" w:cstheme="minorHAnsi"/>
          <w:sz w:val="24"/>
          <w:szCs w:val="24"/>
        </w:rPr>
        <w:t>25,5</w:t>
      </w:r>
      <w:r w:rsidRPr="001C4593">
        <w:rPr>
          <w:rFonts w:eastAsia="Calibri" w:cstheme="minorHAnsi"/>
          <w:sz w:val="24"/>
          <w:szCs w:val="24"/>
        </w:rPr>
        <w:t xml:space="preserve">% των επιχειρήσεων έχουν μηδενικά ρευστά διαθέσιμα, ενώ για το </w:t>
      </w:r>
      <w:r w:rsidR="001C4593" w:rsidRPr="001C4593">
        <w:rPr>
          <w:rFonts w:eastAsia="Calibri" w:cstheme="minorHAnsi"/>
          <w:sz w:val="24"/>
          <w:szCs w:val="24"/>
        </w:rPr>
        <w:t>25,1</w:t>
      </w:r>
      <w:r w:rsidRPr="001C4593">
        <w:rPr>
          <w:rFonts w:eastAsia="Calibri" w:cstheme="minorHAnsi"/>
          <w:sz w:val="24"/>
          <w:szCs w:val="24"/>
        </w:rPr>
        <w:t>% των επιχειρήσεων τα ταμειακά διαθέσιμα επαρκούν το πολύ για ένα μήνα.</w:t>
      </w:r>
    </w:p>
    <w:p w14:paraId="60250771" w14:textId="217DB5CB" w:rsidR="0003359C" w:rsidRPr="00DE77D0" w:rsidRDefault="0003359C" w:rsidP="00A01605">
      <w:pPr>
        <w:pStyle w:val="a3"/>
        <w:numPr>
          <w:ilvl w:val="0"/>
          <w:numId w:val="4"/>
        </w:numPr>
        <w:spacing w:after="0" w:line="360" w:lineRule="auto"/>
        <w:jc w:val="both"/>
        <w:rPr>
          <w:rFonts w:eastAsia="Calibri" w:cstheme="minorHAnsi"/>
          <w:sz w:val="24"/>
          <w:szCs w:val="24"/>
        </w:rPr>
      </w:pPr>
      <w:r w:rsidRPr="001C4593">
        <w:rPr>
          <w:rFonts w:eastAsia="Calibri" w:cstheme="minorHAnsi"/>
          <w:sz w:val="24"/>
          <w:szCs w:val="24"/>
        </w:rPr>
        <w:t xml:space="preserve">Τα μεγαλύτερα προβλήματα ρευστότητας αντιμετωπίζουν οι μικρότερες με βάση τον κύκλο εργασιών επιχειρήσεις, ενώ πολύ σοβαρό πρόβλημα αντιμετωπίζουν </w:t>
      </w:r>
      <w:r w:rsidR="001C4593">
        <w:rPr>
          <w:rFonts w:eastAsia="Calibri" w:cstheme="minorHAnsi"/>
          <w:sz w:val="24"/>
          <w:szCs w:val="24"/>
        </w:rPr>
        <w:t xml:space="preserve">και </w:t>
      </w:r>
      <w:r w:rsidRPr="001C4593">
        <w:rPr>
          <w:rFonts w:eastAsia="Calibri" w:cstheme="minorHAnsi"/>
          <w:sz w:val="24"/>
          <w:szCs w:val="24"/>
        </w:rPr>
        <w:t>οι επιχειρήσεις εστίασης όπου το ποσοστό εκείνων που δεν έχουν ταμειακά διαθέσιμα</w:t>
      </w:r>
      <w:r w:rsidR="001009CB">
        <w:rPr>
          <w:rFonts w:eastAsia="Calibri" w:cstheme="minorHAnsi"/>
          <w:sz w:val="24"/>
          <w:szCs w:val="24"/>
        </w:rPr>
        <w:t>,</w:t>
      </w:r>
      <w:r w:rsidRPr="001C4593">
        <w:rPr>
          <w:rFonts w:eastAsia="Calibri" w:cstheme="minorHAnsi"/>
          <w:sz w:val="24"/>
          <w:szCs w:val="24"/>
        </w:rPr>
        <w:t xml:space="preserve"> ή τα ταμειακά διαθέσιμα επαρκούν το πολύ για ένα μήνα</w:t>
      </w:r>
      <w:r w:rsidR="001009CB">
        <w:rPr>
          <w:rFonts w:eastAsia="Calibri" w:cstheme="minorHAnsi"/>
          <w:sz w:val="24"/>
          <w:szCs w:val="24"/>
        </w:rPr>
        <w:t>,</w:t>
      </w:r>
      <w:r w:rsidRPr="001C4593">
        <w:rPr>
          <w:rFonts w:eastAsia="Calibri" w:cstheme="minorHAnsi"/>
          <w:sz w:val="24"/>
          <w:szCs w:val="24"/>
        </w:rPr>
        <w:t xml:space="preserve"> ανέρχεται στο </w:t>
      </w:r>
      <w:r w:rsidR="001C4593" w:rsidRPr="001C4593">
        <w:rPr>
          <w:rFonts w:eastAsia="Calibri" w:cstheme="minorHAnsi"/>
          <w:sz w:val="24"/>
          <w:szCs w:val="24"/>
        </w:rPr>
        <w:t xml:space="preserve">61,3% (30,7% δεν </w:t>
      </w:r>
      <w:r w:rsidR="001009CB" w:rsidRPr="001C4593">
        <w:rPr>
          <w:rFonts w:eastAsia="Calibri" w:cstheme="minorHAnsi"/>
          <w:sz w:val="24"/>
          <w:szCs w:val="24"/>
        </w:rPr>
        <w:t>έχ</w:t>
      </w:r>
      <w:r w:rsidR="001009CB">
        <w:rPr>
          <w:rFonts w:eastAsia="Calibri" w:cstheme="minorHAnsi"/>
          <w:sz w:val="24"/>
          <w:szCs w:val="24"/>
        </w:rPr>
        <w:t>ει</w:t>
      </w:r>
      <w:r w:rsidR="001009CB" w:rsidRPr="001C4593">
        <w:rPr>
          <w:rFonts w:eastAsia="Calibri" w:cstheme="minorHAnsi"/>
          <w:sz w:val="24"/>
          <w:szCs w:val="24"/>
        </w:rPr>
        <w:t xml:space="preserve"> </w:t>
      </w:r>
      <w:r w:rsidR="001C4593" w:rsidRPr="001C4593">
        <w:rPr>
          <w:rFonts w:eastAsia="Calibri" w:cstheme="minorHAnsi"/>
          <w:sz w:val="24"/>
          <w:szCs w:val="24"/>
        </w:rPr>
        <w:t>καθόλου ταμειακά διαθέσιμα και 30,7% έχει ταμειακά διαθέσιμα που επαρκούν το πολύ για ένα μήνα)</w:t>
      </w:r>
      <w:r w:rsidR="00D64FDB" w:rsidRPr="001C4593">
        <w:rPr>
          <w:rFonts w:eastAsia="Calibri" w:cstheme="minorHAnsi"/>
          <w:sz w:val="24"/>
          <w:szCs w:val="24"/>
        </w:rPr>
        <w:t>.</w:t>
      </w:r>
    </w:p>
    <w:p w14:paraId="7DCAEF23" w14:textId="77777777" w:rsidR="004771F2" w:rsidRPr="001C4593" w:rsidRDefault="004771F2" w:rsidP="00A01605">
      <w:pPr>
        <w:spacing w:after="0" w:line="360" w:lineRule="auto"/>
        <w:jc w:val="both"/>
        <w:rPr>
          <w:rFonts w:eastAsia="Times New Roman" w:cstheme="minorHAnsi"/>
          <w:b/>
          <w:sz w:val="24"/>
          <w:szCs w:val="24"/>
          <w:u w:val="single"/>
        </w:rPr>
      </w:pPr>
      <w:r w:rsidRPr="001C4593">
        <w:rPr>
          <w:rFonts w:eastAsia="Times New Roman" w:cstheme="minorHAnsi"/>
          <w:b/>
          <w:sz w:val="24"/>
          <w:szCs w:val="24"/>
          <w:u w:val="single"/>
        </w:rPr>
        <w:t>Απασχόληση</w:t>
      </w:r>
    </w:p>
    <w:p w14:paraId="29FD03FD" w14:textId="55B8B991" w:rsidR="001C4593" w:rsidRPr="001C4593" w:rsidRDefault="001C4593" w:rsidP="001C4593">
      <w:pPr>
        <w:pStyle w:val="a3"/>
        <w:numPr>
          <w:ilvl w:val="0"/>
          <w:numId w:val="4"/>
        </w:numPr>
        <w:spacing w:after="0" w:line="360" w:lineRule="auto"/>
        <w:jc w:val="both"/>
        <w:rPr>
          <w:rFonts w:cstheme="minorHAnsi"/>
          <w:b/>
          <w:sz w:val="24"/>
          <w:szCs w:val="24"/>
          <w:u w:val="single"/>
        </w:rPr>
      </w:pPr>
      <w:r w:rsidRPr="001C4593">
        <w:rPr>
          <w:rFonts w:eastAsia="Calibri" w:cstheme="minorHAnsi"/>
          <w:sz w:val="24"/>
          <w:szCs w:val="24"/>
        </w:rPr>
        <w:t xml:space="preserve">Στην απασχόληση το ισοζύγιο των επιχειρήσεων που μετέβαλαν το προσωπικό τους παρέμεινε θετικό. Συγκεκριμένα, το δεύτερο εξάμηνο του 2023 οι επιχειρήσεις οι οποίες δήλωσαν ότι αύξησαν το προσωπικό τους αντιστοιχούν στο 7,4% έναντι 7,3% που δήλωσε ότι το μείωσε. </w:t>
      </w:r>
    </w:p>
    <w:p w14:paraId="396890AE" w14:textId="514BDE1A" w:rsidR="0003359C" w:rsidRPr="00DE77D0" w:rsidRDefault="001C4593" w:rsidP="00A01605">
      <w:pPr>
        <w:pStyle w:val="a3"/>
        <w:numPr>
          <w:ilvl w:val="0"/>
          <w:numId w:val="4"/>
        </w:numPr>
        <w:spacing w:after="0" w:line="360" w:lineRule="auto"/>
        <w:jc w:val="both"/>
        <w:rPr>
          <w:rFonts w:cstheme="minorHAnsi"/>
          <w:b/>
          <w:sz w:val="24"/>
          <w:szCs w:val="24"/>
          <w:u w:val="single"/>
        </w:rPr>
      </w:pPr>
      <w:r w:rsidRPr="001C4593">
        <w:rPr>
          <w:rFonts w:eastAsia="Times New Roman" w:cstheme="minorHAnsi"/>
          <w:bCs/>
          <w:sz w:val="24"/>
          <w:szCs w:val="24"/>
        </w:rPr>
        <w:t>Θετικές είναι οι εκτιμήσεις και για το πρώτο εξάμηνο του 2024, καθώς το 13,7% των επιχειρήσεων δήλωσε ότι θα αυξήσει το προσωπικό, έναντι 3,5</w:t>
      </w:r>
      <w:r w:rsidR="001009CB">
        <w:rPr>
          <w:rFonts w:eastAsia="Times New Roman" w:cstheme="minorHAnsi"/>
          <w:bCs/>
          <w:sz w:val="24"/>
          <w:szCs w:val="24"/>
        </w:rPr>
        <w:t xml:space="preserve"> </w:t>
      </w:r>
      <w:r w:rsidRPr="001C4593">
        <w:rPr>
          <w:rFonts w:eastAsia="Times New Roman" w:cstheme="minorHAnsi"/>
          <w:bCs/>
          <w:sz w:val="24"/>
          <w:szCs w:val="24"/>
        </w:rPr>
        <w:t>% που δήλωσε ότι θα το μειώσει</w:t>
      </w:r>
      <w:r w:rsidR="0003359C" w:rsidRPr="001C4593">
        <w:rPr>
          <w:rFonts w:eastAsia="Times New Roman" w:cstheme="minorHAnsi"/>
          <w:bCs/>
          <w:sz w:val="24"/>
          <w:szCs w:val="24"/>
        </w:rPr>
        <w:t>.</w:t>
      </w:r>
      <w:r w:rsidR="0003359C" w:rsidRPr="00DE77D0">
        <w:rPr>
          <w:rFonts w:eastAsia="Times New Roman" w:cstheme="minorHAnsi"/>
          <w:bCs/>
          <w:sz w:val="24"/>
          <w:szCs w:val="24"/>
          <w:highlight w:val="yellow"/>
        </w:rPr>
        <w:t xml:space="preserve"> </w:t>
      </w:r>
    </w:p>
    <w:p w14:paraId="30A08CF5" w14:textId="7B832E10" w:rsidR="004771F2" w:rsidRPr="00840DEE" w:rsidRDefault="004771F2" w:rsidP="00A01605">
      <w:pPr>
        <w:pStyle w:val="a3"/>
        <w:spacing w:after="0" w:line="360" w:lineRule="auto"/>
        <w:ind w:left="0"/>
        <w:rPr>
          <w:rFonts w:cstheme="minorHAnsi"/>
          <w:b/>
          <w:sz w:val="24"/>
          <w:szCs w:val="24"/>
          <w:u w:val="single"/>
        </w:rPr>
      </w:pPr>
      <w:r w:rsidRPr="00840DEE">
        <w:rPr>
          <w:rFonts w:cstheme="minorHAnsi"/>
          <w:b/>
          <w:sz w:val="24"/>
          <w:szCs w:val="24"/>
          <w:u w:val="single"/>
        </w:rPr>
        <w:t>Επενδύσεις</w:t>
      </w:r>
    </w:p>
    <w:p w14:paraId="1A4C6CFF" w14:textId="68C57359" w:rsidR="004771F2" w:rsidRPr="00840DEE" w:rsidRDefault="00E91EE0" w:rsidP="00A01605">
      <w:pPr>
        <w:pStyle w:val="a3"/>
        <w:numPr>
          <w:ilvl w:val="0"/>
          <w:numId w:val="4"/>
        </w:numPr>
        <w:spacing w:after="0" w:line="360" w:lineRule="auto"/>
        <w:jc w:val="both"/>
        <w:rPr>
          <w:rFonts w:eastAsia="Times New Roman" w:cstheme="minorHAnsi"/>
          <w:bCs/>
          <w:sz w:val="24"/>
          <w:szCs w:val="24"/>
        </w:rPr>
      </w:pPr>
      <w:r>
        <w:rPr>
          <w:rFonts w:eastAsia="Times New Roman" w:cstheme="minorHAnsi"/>
          <w:bCs/>
          <w:sz w:val="24"/>
          <w:szCs w:val="24"/>
        </w:rPr>
        <w:t>Πάνω</w:t>
      </w:r>
      <w:r w:rsidRPr="00840DEE">
        <w:rPr>
          <w:rFonts w:eastAsia="Times New Roman" w:cstheme="minorHAnsi"/>
          <w:bCs/>
          <w:sz w:val="24"/>
          <w:szCs w:val="24"/>
        </w:rPr>
        <w:t xml:space="preserve"> </w:t>
      </w:r>
      <w:r w:rsidR="00840DEE" w:rsidRPr="00840DEE">
        <w:rPr>
          <w:rFonts w:eastAsia="Times New Roman" w:cstheme="minorHAnsi"/>
          <w:bCs/>
          <w:sz w:val="24"/>
          <w:szCs w:val="24"/>
        </w:rPr>
        <w:t xml:space="preserve">από </w:t>
      </w:r>
      <w:r w:rsidR="004771F2" w:rsidRPr="00840DEE">
        <w:rPr>
          <w:rFonts w:eastAsia="Times New Roman" w:cstheme="minorHAnsi"/>
          <w:bCs/>
          <w:sz w:val="24"/>
          <w:szCs w:val="24"/>
        </w:rPr>
        <w:t>1 στις 3 μικρές και πολύ μικρές επιχειρήσεις (</w:t>
      </w:r>
      <w:r w:rsidR="00840DEE" w:rsidRPr="00840DEE">
        <w:rPr>
          <w:rFonts w:eastAsia="Times New Roman" w:cstheme="minorHAnsi"/>
          <w:bCs/>
          <w:sz w:val="24"/>
          <w:szCs w:val="24"/>
        </w:rPr>
        <w:t>37,2</w:t>
      </w:r>
      <w:r w:rsidR="004A3CA2" w:rsidRPr="00840DEE">
        <w:rPr>
          <w:rFonts w:eastAsia="Times New Roman" w:cstheme="minorHAnsi"/>
          <w:bCs/>
          <w:sz w:val="24"/>
          <w:szCs w:val="24"/>
        </w:rPr>
        <w:t>%) πραγματοποίησε</w:t>
      </w:r>
      <w:r w:rsidR="004771F2" w:rsidRPr="00840DEE">
        <w:rPr>
          <w:rFonts w:eastAsia="Times New Roman" w:cstheme="minorHAnsi"/>
          <w:bCs/>
          <w:sz w:val="24"/>
          <w:szCs w:val="24"/>
        </w:rPr>
        <w:t xml:space="preserve"> κάποια</w:t>
      </w:r>
      <w:r w:rsidR="002F2829">
        <w:rPr>
          <w:rFonts w:eastAsia="Times New Roman" w:cstheme="minorHAnsi"/>
          <w:bCs/>
          <w:sz w:val="24"/>
          <w:szCs w:val="24"/>
        </w:rPr>
        <w:t>ς</w:t>
      </w:r>
      <w:r w:rsidR="004771F2" w:rsidRPr="00840DEE">
        <w:rPr>
          <w:rFonts w:eastAsia="Times New Roman" w:cstheme="minorHAnsi"/>
          <w:bCs/>
          <w:sz w:val="24"/>
          <w:szCs w:val="24"/>
        </w:rPr>
        <w:t xml:space="preserve"> μορφής επένδυση κατά το </w:t>
      </w:r>
      <w:r w:rsidR="00840DEE" w:rsidRPr="00840DEE">
        <w:rPr>
          <w:rFonts w:eastAsia="Times New Roman" w:cstheme="minorHAnsi"/>
          <w:bCs/>
          <w:sz w:val="24"/>
          <w:szCs w:val="24"/>
        </w:rPr>
        <w:t>δεύτερο</w:t>
      </w:r>
      <w:r w:rsidR="004A3CA2" w:rsidRPr="00840DEE">
        <w:rPr>
          <w:rFonts w:eastAsia="Times New Roman" w:cstheme="minorHAnsi"/>
          <w:bCs/>
          <w:sz w:val="24"/>
          <w:szCs w:val="24"/>
        </w:rPr>
        <w:t xml:space="preserve"> εξάμηνο του 2023</w:t>
      </w:r>
      <w:r w:rsidR="00840DEE" w:rsidRPr="00840DEE">
        <w:rPr>
          <w:rFonts w:eastAsia="Times New Roman" w:cstheme="minorHAnsi"/>
          <w:bCs/>
          <w:sz w:val="24"/>
          <w:szCs w:val="24"/>
        </w:rPr>
        <w:t>, διατηρώντας το</w:t>
      </w:r>
      <w:r>
        <w:rPr>
          <w:rFonts w:eastAsia="Times New Roman" w:cstheme="minorHAnsi"/>
          <w:bCs/>
          <w:sz w:val="24"/>
          <w:szCs w:val="24"/>
        </w:rPr>
        <w:t>ν</w:t>
      </w:r>
      <w:r w:rsidR="00840DEE" w:rsidRPr="00840DEE">
        <w:rPr>
          <w:rFonts w:eastAsia="Times New Roman" w:cstheme="minorHAnsi"/>
          <w:bCs/>
          <w:sz w:val="24"/>
          <w:szCs w:val="24"/>
        </w:rPr>
        <w:t xml:space="preserve"> αριθμό των επιχειρήσεων</w:t>
      </w:r>
      <w:r w:rsidR="00BD5608" w:rsidRPr="00BD5608">
        <w:rPr>
          <w:rFonts w:eastAsia="Times New Roman" w:cstheme="minorHAnsi"/>
          <w:bCs/>
          <w:sz w:val="24"/>
          <w:szCs w:val="24"/>
        </w:rPr>
        <w:t xml:space="preserve"> </w:t>
      </w:r>
      <w:r w:rsidR="00BD5608">
        <w:rPr>
          <w:rFonts w:eastAsia="Times New Roman" w:cstheme="minorHAnsi"/>
          <w:bCs/>
          <w:sz w:val="24"/>
          <w:szCs w:val="24"/>
        </w:rPr>
        <w:t>που πραγματοποίησαν επενδύσεις</w:t>
      </w:r>
      <w:r w:rsidR="00840DEE" w:rsidRPr="00840DEE">
        <w:rPr>
          <w:rFonts w:eastAsia="Times New Roman" w:cstheme="minorHAnsi"/>
          <w:bCs/>
          <w:sz w:val="24"/>
          <w:szCs w:val="24"/>
        </w:rPr>
        <w:t xml:space="preserve"> σε υψηλά ποσοστά</w:t>
      </w:r>
      <w:r w:rsidR="004771F2" w:rsidRPr="00840DEE">
        <w:rPr>
          <w:rFonts w:eastAsia="Times New Roman" w:cstheme="minorHAnsi"/>
          <w:bCs/>
          <w:sz w:val="24"/>
          <w:szCs w:val="24"/>
        </w:rPr>
        <w:t xml:space="preserve">. </w:t>
      </w:r>
    </w:p>
    <w:p w14:paraId="00FE2BE3" w14:textId="2DC497BA" w:rsidR="004771F2" w:rsidRPr="00840DEE" w:rsidRDefault="004771F2" w:rsidP="00A01605">
      <w:pPr>
        <w:pStyle w:val="a3"/>
        <w:numPr>
          <w:ilvl w:val="0"/>
          <w:numId w:val="4"/>
        </w:numPr>
        <w:spacing w:after="0" w:line="360" w:lineRule="auto"/>
        <w:ind w:left="357" w:hanging="357"/>
        <w:rPr>
          <w:rFonts w:eastAsia="Times New Roman" w:cstheme="minorHAnsi"/>
          <w:bCs/>
          <w:sz w:val="24"/>
          <w:szCs w:val="24"/>
        </w:rPr>
      </w:pPr>
      <w:r w:rsidRPr="00840DEE">
        <w:rPr>
          <w:rFonts w:eastAsia="Times New Roman" w:cstheme="minorHAnsi"/>
          <w:bCs/>
          <w:sz w:val="24"/>
          <w:szCs w:val="24"/>
        </w:rPr>
        <w:t xml:space="preserve">Το </w:t>
      </w:r>
      <w:r w:rsidR="00840DEE" w:rsidRPr="00840DEE">
        <w:rPr>
          <w:rFonts w:eastAsia="Times New Roman" w:cstheme="minorHAnsi"/>
          <w:bCs/>
          <w:sz w:val="24"/>
          <w:szCs w:val="24"/>
        </w:rPr>
        <w:t>21,6</w:t>
      </w:r>
      <w:r w:rsidRPr="00840DEE">
        <w:rPr>
          <w:rFonts w:eastAsia="Times New Roman" w:cstheme="minorHAnsi"/>
          <w:bCs/>
          <w:sz w:val="24"/>
          <w:szCs w:val="24"/>
        </w:rPr>
        <w:t>%</w:t>
      </w:r>
      <w:r w:rsidR="00EE3DCA">
        <w:rPr>
          <w:rFonts w:eastAsia="Times New Roman" w:cstheme="minorHAnsi"/>
          <w:bCs/>
          <w:sz w:val="24"/>
          <w:szCs w:val="24"/>
        </w:rPr>
        <w:t xml:space="preserve"> </w:t>
      </w:r>
      <w:r w:rsidRPr="00840DEE">
        <w:rPr>
          <w:rFonts w:eastAsia="Times New Roman" w:cstheme="minorHAnsi"/>
          <w:bCs/>
          <w:sz w:val="24"/>
          <w:szCs w:val="24"/>
        </w:rPr>
        <w:t xml:space="preserve">πραγματοποίησε επενδύσεις σε τεχνολογικό εξοπλισμό και ψηφιακές τεχνολογίες, το </w:t>
      </w:r>
      <w:r w:rsidR="00840DEE" w:rsidRPr="00840DEE">
        <w:rPr>
          <w:rFonts w:eastAsia="Times New Roman" w:cstheme="minorHAnsi"/>
          <w:bCs/>
          <w:sz w:val="24"/>
          <w:szCs w:val="24"/>
        </w:rPr>
        <w:t>20,1</w:t>
      </w:r>
      <w:r w:rsidRPr="00840DEE">
        <w:rPr>
          <w:rFonts w:eastAsia="Times New Roman" w:cstheme="minorHAnsi"/>
          <w:bCs/>
          <w:sz w:val="24"/>
          <w:szCs w:val="24"/>
        </w:rPr>
        <w:t xml:space="preserve">% επενδύσεις σε μηχανολογικό εξοπλισμό και λοιπά μηχανήματα, το </w:t>
      </w:r>
      <w:r w:rsidR="00840DEE" w:rsidRPr="00840DEE">
        <w:rPr>
          <w:rFonts w:eastAsia="Times New Roman" w:cstheme="minorHAnsi"/>
          <w:bCs/>
          <w:sz w:val="24"/>
          <w:szCs w:val="24"/>
        </w:rPr>
        <w:t>9,9</w:t>
      </w:r>
      <w:r w:rsidRPr="00840DEE">
        <w:rPr>
          <w:rFonts w:eastAsia="Times New Roman" w:cstheme="minorHAnsi"/>
          <w:bCs/>
          <w:sz w:val="24"/>
          <w:szCs w:val="24"/>
        </w:rPr>
        <w:t>% σε κτιριακές εγκατασ</w:t>
      </w:r>
      <w:r w:rsidR="007D3194" w:rsidRPr="00840DEE">
        <w:rPr>
          <w:rFonts w:eastAsia="Times New Roman" w:cstheme="minorHAnsi"/>
          <w:bCs/>
          <w:sz w:val="24"/>
          <w:szCs w:val="24"/>
        </w:rPr>
        <w:t xml:space="preserve">τάσεις και λοιπό εξοπλισμό και </w:t>
      </w:r>
      <w:r w:rsidRPr="00840DEE">
        <w:rPr>
          <w:rFonts w:eastAsia="Times New Roman" w:cstheme="minorHAnsi"/>
          <w:bCs/>
          <w:sz w:val="24"/>
          <w:szCs w:val="24"/>
        </w:rPr>
        <w:t xml:space="preserve">το </w:t>
      </w:r>
      <w:r w:rsidR="00840DEE" w:rsidRPr="00840DEE">
        <w:rPr>
          <w:rFonts w:eastAsia="Times New Roman" w:cstheme="minorHAnsi"/>
          <w:bCs/>
          <w:sz w:val="24"/>
          <w:szCs w:val="24"/>
        </w:rPr>
        <w:t>8,6</w:t>
      </w:r>
      <w:r w:rsidRPr="00840DEE">
        <w:rPr>
          <w:rFonts w:eastAsia="Times New Roman" w:cstheme="minorHAnsi"/>
          <w:bCs/>
          <w:sz w:val="24"/>
          <w:szCs w:val="24"/>
        </w:rPr>
        <w:t>% για κατάρτιση και εκπαίδευση προσωπικού.</w:t>
      </w:r>
      <w:r w:rsidR="00EE3DCA">
        <w:rPr>
          <w:rFonts w:eastAsia="Times New Roman" w:cstheme="minorHAnsi"/>
          <w:bCs/>
          <w:sz w:val="24"/>
          <w:szCs w:val="24"/>
        </w:rPr>
        <w:t xml:space="preserve"> </w:t>
      </w:r>
      <w:r w:rsidRPr="00840DEE">
        <w:rPr>
          <w:rFonts w:eastAsia="Times New Roman" w:cstheme="minorHAnsi"/>
          <w:bCs/>
          <w:sz w:val="24"/>
          <w:szCs w:val="24"/>
        </w:rPr>
        <w:t xml:space="preserve"> </w:t>
      </w:r>
    </w:p>
    <w:p w14:paraId="31E64E40" w14:textId="69FD777C" w:rsidR="004771F2" w:rsidRPr="00840DEE" w:rsidRDefault="004771F2" w:rsidP="00A01605">
      <w:pPr>
        <w:pStyle w:val="a3"/>
        <w:numPr>
          <w:ilvl w:val="0"/>
          <w:numId w:val="4"/>
        </w:numPr>
        <w:spacing w:after="0" w:line="360" w:lineRule="auto"/>
        <w:jc w:val="both"/>
        <w:rPr>
          <w:rFonts w:eastAsia="Times New Roman" w:cstheme="minorHAnsi"/>
          <w:bCs/>
          <w:sz w:val="24"/>
          <w:szCs w:val="24"/>
        </w:rPr>
      </w:pPr>
      <w:r w:rsidRPr="00840DEE">
        <w:rPr>
          <w:rFonts w:eastAsia="Times New Roman" w:cstheme="minorHAnsi"/>
          <w:bCs/>
          <w:sz w:val="24"/>
          <w:szCs w:val="24"/>
        </w:rPr>
        <w:t>Υπάρχει μ</w:t>
      </w:r>
      <w:r w:rsidR="00EA3429">
        <w:rPr>
          <w:rFonts w:eastAsia="Times New Roman" w:cstheme="minorHAnsi"/>
          <w:bCs/>
          <w:sz w:val="24"/>
          <w:szCs w:val="24"/>
        </w:rPr>
        <w:t>ι</w:t>
      </w:r>
      <w:r w:rsidRPr="00840DEE">
        <w:rPr>
          <w:rFonts w:eastAsia="Times New Roman" w:cstheme="minorHAnsi"/>
          <w:bCs/>
          <w:sz w:val="24"/>
          <w:szCs w:val="24"/>
        </w:rPr>
        <w:t>α σαφής θετική σχέση μεταξύ των επιχειρήσεων που δήλωσαν ότι έχουν πραγματοποιήσει επενδύσεις και του μεγέθους τους σε όρους αριθμού εργαζομένων και κύκλου εργασιών.</w:t>
      </w:r>
    </w:p>
    <w:p w14:paraId="6B54BC39" w14:textId="4A2BFAFD" w:rsidR="004771F2" w:rsidRPr="00840DEE" w:rsidRDefault="004771F2" w:rsidP="00A01605">
      <w:pPr>
        <w:pStyle w:val="a3"/>
        <w:numPr>
          <w:ilvl w:val="0"/>
          <w:numId w:val="4"/>
        </w:numPr>
        <w:spacing w:after="0" w:line="360" w:lineRule="auto"/>
        <w:jc w:val="both"/>
        <w:rPr>
          <w:rFonts w:eastAsia="Times New Roman" w:cstheme="minorHAnsi"/>
          <w:bCs/>
          <w:sz w:val="24"/>
          <w:szCs w:val="24"/>
        </w:rPr>
      </w:pPr>
      <w:r w:rsidRPr="00840DEE">
        <w:rPr>
          <w:rFonts w:eastAsia="Times New Roman" w:cstheme="minorHAnsi"/>
          <w:bCs/>
          <w:sz w:val="24"/>
          <w:szCs w:val="24"/>
        </w:rPr>
        <w:t xml:space="preserve">Παρά τα </w:t>
      </w:r>
      <w:r w:rsidR="004A3CA2" w:rsidRPr="00840DEE">
        <w:rPr>
          <w:rFonts w:eastAsia="Times New Roman" w:cstheme="minorHAnsi"/>
          <w:bCs/>
          <w:sz w:val="24"/>
          <w:szCs w:val="24"/>
        </w:rPr>
        <w:t>υψηλά</w:t>
      </w:r>
      <w:r w:rsidRPr="00840DEE">
        <w:rPr>
          <w:rFonts w:eastAsia="Times New Roman" w:cstheme="minorHAnsi"/>
          <w:bCs/>
          <w:sz w:val="24"/>
          <w:szCs w:val="24"/>
        </w:rPr>
        <w:t xml:space="preserve"> ποσοστά επιχειρήσεων που δήλωσαν ότι έχουν κάνει επενδύσεις</w:t>
      </w:r>
      <w:r w:rsidR="00EA3429">
        <w:rPr>
          <w:rFonts w:eastAsia="Times New Roman" w:cstheme="minorHAnsi"/>
          <w:bCs/>
          <w:sz w:val="24"/>
          <w:szCs w:val="24"/>
        </w:rPr>
        <w:t>,</w:t>
      </w:r>
      <w:r w:rsidRPr="00840DEE">
        <w:rPr>
          <w:rFonts w:eastAsia="Times New Roman" w:cstheme="minorHAnsi"/>
          <w:bCs/>
          <w:sz w:val="24"/>
          <w:szCs w:val="24"/>
        </w:rPr>
        <w:t xml:space="preserve"> αυτές </w:t>
      </w:r>
      <w:r w:rsidR="007D3194" w:rsidRPr="00840DEE">
        <w:rPr>
          <w:rFonts w:eastAsia="Times New Roman" w:cstheme="minorHAnsi"/>
          <w:bCs/>
          <w:sz w:val="24"/>
          <w:szCs w:val="24"/>
        </w:rPr>
        <w:t>ήταν</w:t>
      </w:r>
      <w:r w:rsidR="00EE3DCA">
        <w:rPr>
          <w:rFonts w:eastAsia="Times New Roman" w:cstheme="minorHAnsi"/>
          <w:bCs/>
          <w:sz w:val="24"/>
          <w:szCs w:val="24"/>
        </w:rPr>
        <w:t xml:space="preserve"> </w:t>
      </w:r>
      <w:r w:rsidRPr="00840DEE">
        <w:rPr>
          <w:rFonts w:eastAsia="Times New Roman" w:cstheme="minorHAnsi"/>
          <w:bCs/>
          <w:sz w:val="24"/>
          <w:szCs w:val="24"/>
        </w:rPr>
        <w:t xml:space="preserve">μικρής κλίμακας. Για </w:t>
      </w:r>
      <w:r w:rsidR="00840DEE" w:rsidRPr="00840DEE">
        <w:rPr>
          <w:rFonts w:eastAsia="Times New Roman" w:cstheme="minorHAnsi"/>
          <w:bCs/>
          <w:sz w:val="24"/>
          <w:szCs w:val="24"/>
        </w:rPr>
        <w:t>περίπου</w:t>
      </w:r>
      <w:r w:rsidR="004A3CA2" w:rsidRPr="00840DEE">
        <w:rPr>
          <w:rFonts w:eastAsia="Times New Roman" w:cstheme="minorHAnsi"/>
          <w:bCs/>
          <w:sz w:val="24"/>
          <w:szCs w:val="24"/>
        </w:rPr>
        <w:t xml:space="preserve"> </w:t>
      </w:r>
      <w:r w:rsidRPr="00840DEE">
        <w:rPr>
          <w:rFonts w:eastAsia="Times New Roman" w:cstheme="minorHAnsi"/>
          <w:bCs/>
          <w:sz w:val="24"/>
          <w:szCs w:val="24"/>
        </w:rPr>
        <w:t>1 στις 2 επιχειρήσεις (</w:t>
      </w:r>
      <w:r w:rsidR="00840DEE" w:rsidRPr="00840DEE">
        <w:rPr>
          <w:rFonts w:eastAsia="Times New Roman" w:cstheme="minorHAnsi"/>
          <w:bCs/>
          <w:sz w:val="24"/>
          <w:szCs w:val="24"/>
        </w:rPr>
        <w:t>49,1</w:t>
      </w:r>
      <w:r w:rsidRPr="00840DEE">
        <w:rPr>
          <w:rFonts w:eastAsia="Times New Roman" w:cstheme="minorHAnsi"/>
          <w:bCs/>
          <w:sz w:val="24"/>
          <w:szCs w:val="24"/>
        </w:rPr>
        <w:t xml:space="preserve">%) που </w:t>
      </w:r>
      <w:r w:rsidR="00EA3429" w:rsidRPr="00840DEE">
        <w:rPr>
          <w:rFonts w:eastAsia="Times New Roman" w:cstheme="minorHAnsi"/>
          <w:bCs/>
          <w:sz w:val="24"/>
          <w:szCs w:val="24"/>
        </w:rPr>
        <w:t>πραγματοποίησ</w:t>
      </w:r>
      <w:r w:rsidR="00EA3429">
        <w:rPr>
          <w:rFonts w:eastAsia="Times New Roman" w:cstheme="minorHAnsi"/>
          <w:bCs/>
          <w:sz w:val="24"/>
          <w:szCs w:val="24"/>
        </w:rPr>
        <w:t>ε</w:t>
      </w:r>
      <w:r w:rsidR="00EA3429" w:rsidRPr="00840DEE">
        <w:rPr>
          <w:rFonts w:eastAsia="Times New Roman" w:cstheme="minorHAnsi"/>
          <w:bCs/>
          <w:sz w:val="24"/>
          <w:szCs w:val="24"/>
        </w:rPr>
        <w:t xml:space="preserve"> </w:t>
      </w:r>
      <w:r w:rsidRPr="00840DEE">
        <w:rPr>
          <w:rFonts w:eastAsia="Times New Roman" w:cstheme="minorHAnsi"/>
          <w:bCs/>
          <w:sz w:val="24"/>
          <w:szCs w:val="24"/>
        </w:rPr>
        <w:t xml:space="preserve">επενδύσεις το ύψος της επένδυσης ήταν έως </w:t>
      </w:r>
      <w:r w:rsidR="00840DEE" w:rsidRPr="00840DEE">
        <w:rPr>
          <w:rFonts w:eastAsia="Times New Roman" w:cstheme="minorHAnsi"/>
          <w:bCs/>
          <w:sz w:val="24"/>
          <w:szCs w:val="24"/>
        </w:rPr>
        <w:t>5</w:t>
      </w:r>
      <w:r w:rsidRPr="00840DEE">
        <w:rPr>
          <w:rFonts w:eastAsia="Times New Roman" w:cstheme="minorHAnsi"/>
          <w:bCs/>
          <w:sz w:val="24"/>
          <w:szCs w:val="24"/>
        </w:rPr>
        <w:t xml:space="preserve">.000 €. </w:t>
      </w:r>
    </w:p>
    <w:p w14:paraId="56E93666" w14:textId="14489454" w:rsidR="007275AA" w:rsidRPr="00DE77D0" w:rsidRDefault="004771F2" w:rsidP="00A01605">
      <w:pPr>
        <w:pStyle w:val="a3"/>
        <w:numPr>
          <w:ilvl w:val="0"/>
          <w:numId w:val="4"/>
        </w:numPr>
        <w:spacing w:after="0" w:line="360" w:lineRule="auto"/>
        <w:jc w:val="both"/>
        <w:rPr>
          <w:rFonts w:eastAsia="Times New Roman" w:cstheme="minorHAnsi"/>
          <w:bCs/>
          <w:sz w:val="24"/>
          <w:szCs w:val="24"/>
        </w:rPr>
      </w:pPr>
      <w:r w:rsidRPr="00840DEE">
        <w:rPr>
          <w:rFonts w:eastAsia="Times New Roman" w:cstheme="minorHAnsi"/>
          <w:bCs/>
          <w:sz w:val="24"/>
          <w:szCs w:val="24"/>
        </w:rPr>
        <w:lastRenderedPageBreak/>
        <w:t xml:space="preserve">Το πρόβλημα της πρόσβασης σε χρηματοδότηση για επενδύσεις παραμένει έντονο. </w:t>
      </w:r>
      <w:r w:rsidR="00840DEE" w:rsidRPr="00840DEE">
        <w:rPr>
          <w:rFonts w:eastAsia="Times New Roman" w:cstheme="minorHAnsi"/>
          <w:bCs/>
          <w:sz w:val="24"/>
          <w:szCs w:val="24"/>
        </w:rPr>
        <w:t xml:space="preserve">Συγκεκριμένα, περισσότερες από </w:t>
      </w:r>
      <w:r w:rsidRPr="00840DEE">
        <w:rPr>
          <w:rFonts w:eastAsia="Times New Roman" w:cstheme="minorHAnsi"/>
          <w:bCs/>
          <w:sz w:val="24"/>
          <w:szCs w:val="24"/>
        </w:rPr>
        <w:t>8 στις 10 επιχειρήσεις (</w:t>
      </w:r>
      <w:r w:rsidR="00840DEE" w:rsidRPr="00840DEE">
        <w:rPr>
          <w:rFonts w:eastAsia="Times New Roman" w:cstheme="minorHAnsi"/>
          <w:bCs/>
          <w:sz w:val="24"/>
          <w:szCs w:val="24"/>
        </w:rPr>
        <w:t>84,2</w:t>
      </w:r>
      <w:r w:rsidRPr="00840DEE">
        <w:rPr>
          <w:rFonts w:eastAsia="Times New Roman" w:cstheme="minorHAnsi"/>
          <w:bCs/>
          <w:sz w:val="24"/>
          <w:szCs w:val="24"/>
        </w:rPr>
        <w:t>%)</w:t>
      </w:r>
      <w:r w:rsidR="005C570E">
        <w:rPr>
          <w:rFonts w:eastAsia="Times New Roman" w:cstheme="minorHAnsi"/>
          <w:bCs/>
          <w:sz w:val="24"/>
          <w:szCs w:val="24"/>
        </w:rPr>
        <w:t>,</w:t>
      </w:r>
      <w:r w:rsidRPr="00840DEE">
        <w:rPr>
          <w:rFonts w:eastAsia="Times New Roman" w:cstheme="minorHAnsi"/>
          <w:bCs/>
          <w:sz w:val="24"/>
          <w:szCs w:val="24"/>
        </w:rPr>
        <w:t xml:space="preserve"> που πραγματοποίησαν επενδύσεις</w:t>
      </w:r>
      <w:r w:rsidR="005C570E">
        <w:rPr>
          <w:rFonts w:eastAsia="Times New Roman" w:cstheme="minorHAnsi"/>
          <w:bCs/>
          <w:sz w:val="24"/>
          <w:szCs w:val="24"/>
        </w:rPr>
        <w:t>,</w:t>
      </w:r>
      <w:r w:rsidRPr="00840DEE">
        <w:rPr>
          <w:rFonts w:eastAsia="Times New Roman" w:cstheme="minorHAnsi"/>
          <w:bCs/>
          <w:sz w:val="24"/>
          <w:szCs w:val="24"/>
        </w:rPr>
        <w:t xml:space="preserve"> τις χρηματοδότησαν με </w:t>
      </w:r>
      <w:r w:rsidR="007D6DDA" w:rsidRPr="00840DEE">
        <w:rPr>
          <w:rFonts w:eastAsia="Times New Roman" w:cstheme="minorHAnsi"/>
          <w:bCs/>
          <w:sz w:val="24"/>
          <w:szCs w:val="24"/>
        </w:rPr>
        <w:t>ίδι</w:t>
      </w:r>
      <w:r w:rsidRPr="00840DEE">
        <w:rPr>
          <w:rFonts w:eastAsia="Times New Roman" w:cstheme="minorHAnsi"/>
          <w:bCs/>
          <w:sz w:val="24"/>
          <w:szCs w:val="24"/>
        </w:rPr>
        <w:t xml:space="preserve">ους πόρους. Το </w:t>
      </w:r>
      <w:r w:rsidR="00840DEE" w:rsidRPr="00840DEE">
        <w:rPr>
          <w:rFonts w:eastAsia="Times New Roman" w:cstheme="minorHAnsi"/>
          <w:bCs/>
          <w:sz w:val="24"/>
          <w:szCs w:val="24"/>
        </w:rPr>
        <w:t>5,7</w:t>
      </w:r>
      <w:r w:rsidRPr="00840DEE">
        <w:rPr>
          <w:rFonts w:eastAsia="Times New Roman" w:cstheme="minorHAnsi"/>
          <w:bCs/>
          <w:sz w:val="24"/>
          <w:szCs w:val="24"/>
        </w:rPr>
        <w:t>% τις χρηματοδότησε μέσω προγραμμάτων χρηματοδότησης</w:t>
      </w:r>
      <w:r w:rsidR="00840DEE" w:rsidRPr="00840DEE">
        <w:rPr>
          <w:rFonts w:eastAsia="Times New Roman" w:cstheme="minorHAnsi"/>
          <w:bCs/>
          <w:sz w:val="24"/>
          <w:szCs w:val="24"/>
        </w:rPr>
        <w:t xml:space="preserve"> (ΕΣΠΑ)</w:t>
      </w:r>
      <w:r w:rsidR="00840DEE">
        <w:rPr>
          <w:rFonts w:eastAsia="Times New Roman" w:cstheme="minorHAnsi"/>
          <w:bCs/>
          <w:sz w:val="24"/>
          <w:szCs w:val="24"/>
        </w:rPr>
        <w:t>,</w:t>
      </w:r>
      <w:r w:rsidR="007D3194" w:rsidRPr="00840DEE">
        <w:rPr>
          <w:rFonts w:eastAsia="Times New Roman" w:cstheme="minorHAnsi"/>
          <w:bCs/>
          <w:sz w:val="24"/>
          <w:szCs w:val="24"/>
        </w:rPr>
        <w:t xml:space="preserve"> </w:t>
      </w:r>
      <w:r w:rsidR="007D6DDA" w:rsidRPr="00840DEE">
        <w:rPr>
          <w:rFonts w:eastAsia="Times New Roman" w:cstheme="minorHAnsi"/>
          <w:bCs/>
          <w:sz w:val="24"/>
          <w:szCs w:val="24"/>
        </w:rPr>
        <w:t>ενώ</w:t>
      </w:r>
      <w:r w:rsidR="007D3194" w:rsidRPr="00840DEE">
        <w:rPr>
          <w:rFonts w:eastAsia="Times New Roman" w:cstheme="minorHAnsi"/>
          <w:bCs/>
          <w:sz w:val="24"/>
          <w:szCs w:val="24"/>
        </w:rPr>
        <w:t xml:space="preserve"> μόλις το </w:t>
      </w:r>
      <w:r w:rsidR="00840DEE" w:rsidRPr="00840DEE">
        <w:rPr>
          <w:rFonts w:eastAsia="Times New Roman" w:cstheme="minorHAnsi"/>
          <w:bCs/>
          <w:sz w:val="24"/>
          <w:szCs w:val="24"/>
        </w:rPr>
        <w:t>3,7</w:t>
      </w:r>
      <w:r w:rsidRPr="00840DEE">
        <w:rPr>
          <w:rFonts w:eastAsia="Times New Roman" w:cstheme="minorHAnsi"/>
          <w:bCs/>
          <w:sz w:val="24"/>
          <w:szCs w:val="24"/>
        </w:rPr>
        <w:t>%</w:t>
      </w:r>
      <w:r w:rsidR="00EE3DCA">
        <w:rPr>
          <w:rFonts w:eastAsia="Times New Roman" w:cstheme="minorHAnsi"/>
          <w:bCs/>
          <w:sz w:val="24"/>
          <w:szCs w:val="24"/>
        </w:rPr>
        <w:t xml:space="preserve"> </w:t>
      </w:r>
      <w:r w:rsidRPr="00840DEE">
        <w:rPr>
          <w:rFonts w:eastAsia="Times New Roman" w:cstheme="minorHAnsi"/>
          <w:bCs/>
          <w:sz w:val="24"/>
          <w:szCs w:val="24"/>
        </w:rPr>
        <w:t>μέσω τραπεζικού δανεισμού.</w:t>
      </w:r>
    </w:p>
    <w:p w14:paraId="1751B7EF" w14:textId="77777777" w:rsidR="004771F2" w:rsidRPr="00246AE9" w:rsidRDefault="004771F2" w:rsidP="00A01605">
      <w:pPr>
        <w:spacing w:after="0" w:line="360" w:lineRule="auto"/>
        <w:jc w:val="both"/>
        <w:rPr>
          <w:rFonts w:cstheme="minorHAnsi"/>
          <w:b/>
          <w:sz w:val="24"/>
          <w:szCs w:val="24"/>
          <w:u w:val="single"/>
        </w:rPr>
      </w:pPr>
      <w:r w:rsidRPr="00246AE9">
        <w:rPr>
          <w:rFonts w:cstheme="minorHAnsi"/>
          <w:b/>
          <w:sz w:val="24"/>
          <w:szCs w:val="24"/>
          <w:u w:val="single"/>
        </w:rPr>
        <w:t xml:space="preserve">Τιμές </w:t>
      </w:r>
    </w:p>
    <w:p w14:paraId="3509FF27" w14:textId="246704B4" w:rsidR="004771F2" w:rsidRPr="00246AE9" w:rsidRDefault="007D3194" w:rsidP="00840DEE">
      <w:pPr>
        <w:pStyle w:val="a3"/>
        <w:numPr>
          <w:ilvl w:val="0"/>
          <w:numId w:val="4"/>
        </w:numPr>
        <w:spacing w:after="0" w:line="360" w:lineRule="auto"/>
        <w:jc w:val="both"/>
        <w:rPr>
          <w:rFonts w:eastAsia="Times New Roman" w:cstheme="minorHAnsi"/>
          <w:bCs/>
          <w:sz w:val="24"/>
          <w:szCs w:val="24"/>
        </w:rPr>
      </w:pPr>
      <w:r w:rsidRPr="00246AE9">
        <w:rPr>
          <w:rFonts w:eastAsia="Times New Roman" w:cstheme="minorHAnsi"/>
          <w:bCs/>
          <w:sz w:val="24"/>
          <w:szCs w:val="24"/>
        </w:rPr>
        <w:t>Το</w:t>
      </w:r>
      <w:r w:rsidR="007275AA" w:rsidRPr="00246AE9">
        <w:rPr>
          <w:rFonts w:eastAsia="Times New Roman" w:cstheme="minorHAnsi"/>
          <w:bCs/>
          <w:sz w:val="24"/>
          <w:szCs w:val="24"/>
        </w:rPr>
        <w:t xml:space="preserve"> </w:t>
      </w:r>
      <w:r w:rsidR="00840DEE" w:rsidRPr="00246AE9">
        <w:rPr>
          <w:rFonts w:eastAsia="Times New Roman" w:cstheme="minorHAnsi"/>
          <w:bCs/>
          <w:sz w:val="24"/>
          <w:szCs w:val="24"/>
        </w:rPr>
        <w:t>33,2</w:t>
      </w:r>
      <w:r w:rsidR="007275AA" w:rsidRPr="00246AE9">
        <w:rPr>
          <w:rFonts w:eastAsia="Times New Roman" w:cstheme="minorHAnsi"/>
          <w:bCs/>
          <w:sz w:val="24"/>
          <w:szCs w:val="24"/>
        </w:rPr>
        <w:t>%</w:t>
      </w:r>
      <w:r w:rsidRPr="00246AE9">
        <w:rPr>
          <w:rFonts w:eastAsia="Times New Roman" w:cstheme="minorHAnsi"/>
          <w:bCs/>
          <w:sz w:val="24"/>
          <w:szCs w:val="24"/>
        </w:rPr>
        <w:t xml:space="preserve"> των μικρών και πολύ μικρών επιχειρήσεων δήλωσε ότι αύξησε τις τιμές του το </w:t>
      </w:r>
      <w:r w:rsidR="00840DEE" w:rsidRPr="00246AE9">
        <w:rPr>
          <w:rFonts w:eastAsia="Times New Roman" w:cstheme="minorHAnsi"/>
          <w:bCs/>
          <w:sz w:val="24"/>
          <w:szCs w:val="24"/>
        </w:rPr>
        <w:t>δεύτερο</w:t>
      </w:r>
      <w:r w:rsidR="007275AA" w:rsidRPr="00246AE9">
        <w:rPr>
          <w:rFonts w:eastAsia="Times New Roman" w:cstheme="minorHAnsi"/>
          <w:bCs/>
          <w:sz w:val="24"/>
          <w:szCs w:val="24"/>
        </w:rPr>
        <w:t xml:space="preserve"> εξάμηνο του 2023</w:t>
      </w:r>
      <w:r w:rsidRPr="00246AE9">
        <w:rPr>
          <w:rFonts w:eastAsia="Times New Roman" w:cstheme="minorHAnsi"/>
          <w:bCs/>
          <w:sz w:val="24"/>
          <w:szCs w:val="24"/>
        </w:rPr>
        <w:t>. Το ποσοστό αυτό</w:t>
      </w:r>
      <w:r w:rsidR="00D64FDB" w:rsidRPr="00246AE9">
        <w:rPr>
          <w:rFonts w:eastAsia="Times New Roman" w:cstheme="minorHAnsi"/>
          <w:bCs/>
          <w:sz w:val="24"/>
          <w:szCs w:val="24"/>
        </w:rPr>
        <w:t>,</w:t>
      </w:r>
      <w:r w:rsidRPr="00246AE9">
        <w:rPr>
          <w:rFonts w:eastAsia="Times New Roman" w:cstheme="minorHAnsi"/>
          <w:bCs/>
          <w:sz w:val="24"/>
          <w:szCs w:val="24"/>
        </w:rPr>
        <w:t xml:space="preserve"> αν και είναι μειωμένο </w:t>
      </w:r>
      <w:r w:rsidR="00EA5329" w:rsidRPr="00246AE9">
        <w:rPr>
          <w:rFonts w:eastAsia="Times New Roman" w:cstheme="minorHAnsi"/>
          <w:bCs/>
          <w:sz w:val="24"/>
          <w:szCs w:val="24"/>
        </w:rPr>
        <w:t>σε σχέση με</w:t>
      </w:r>
      <w:r w:rsidR="005C570E">
        <w:rPr>
          <w:rFonts w:eastAsia="Times New Roman" w:cstheme="minorHAnsi"/>
          <w:bCs/>
          <w:sz w:val="24"/>
          <w:szCs w:val="24"/>
        </w:rPr>
        <w:t xml:space="preserve"> </w:t>
      </w:r>
      <w:r w:rsidR="00840DEE" w:rsidRPr="00246AE9">
        <w:rPr>
          <w:rFonts w:eastAsia="Times New Roman" w:cstheme="minorHAnsi"/>
          <w:bCs/>
          <w:sz w:val="24"/>
          <w:szCs w:val="24"/>
        </w:rPr>
        <w:t>τις 3 προηγούμενες έρευνες παραμένει εξαιρετικά υψηλό</w:t>
      </w:r>
      <w:r w:rsidR="00EA5329" w:rsidRPr="00246AE9">
        <w:rPr>
          <w:rFonts w:eastAsia="Times New Roman" w:cstheme="minorHAnsi"/>
          <w:bCs/>
          <w:sz w:val="24"/>
          <w:szCs w:val="24"/>
        </w:rPr>
        <w:t>.</w:t>
      </w:r>
    </w:p>
    <w:p w14:paraId="5BC2CB8D" w14:textId="1F2C3480" w:rsidR="007275AA" w:rsidRPr="00246AE9" w:rsidRDefault="00840DEE" w:rsidP="00840DEE">
      <w:pPr>
        <w:pStyle w:val="a3"/>
        <w:numPr>
          <w:ilvl w:val="0"/>
          <w:numId w:val="4"/>
        </w:numPr>
        <w:spacing w:after="0" w:line="360" w:lineRule="auto"/>
        <w:jc w:val="both"/>
        <w:rPr>
          <w:rFonts w:cstheme="minorHAnsi"/>
          <w:sz w:val="24"/>
          <w:szCs w:val="24"/>
        </w:rPr>
      </w:pPr>
      <w:r w:rsidRPr="00246AE9">
        <w:rPr>
          <w:rFonts w:cstheme="minorHAnsi"/>
          <w:sz w:val="24"/>
          <w:szCs w:val="24"/>
        </w:rPr>
        <w:t xml:space="preserve">Σε </w:t>
      </w:r>
      <w:r w:rsidR="00246AE9" w:rsidRPr="00246AE9">
        <w:rPr>
          <w:rFonts w:cstheme="minorHAnsi"/>
          <w:sz w:val="24"/>
          <w:szCs w:val="24"/>
        </w:rPr>
        <w:t>κλαδικό</w:t>
      </w:r>
      <w:r w:rsidRPr="00246AE9">
        <w:rPr>
          <w:rFonts w:cstheme="minorHAnsi"/>
          <w:sz w:val="24"/>
          <w:szCs w:val="24"/>
        </w:rPr>
        <w:t xml:space="preserve"> επίπεδο</w:t>
      </w:r>
      <w:r w:rsidR="005C570E">
        <w:rPr>
          <w:rFonts w:cstheme="minorHAnsi"/>
          <w:sz w:val="24"/>
          <w:szCs w:val="24"/>
        </w:rPr>
        <w:t>,</w:t>
      </w:r>
      <w:r w:rsidRPr="00246AE9">
        <w:rPr>
          <w:rFonts w:cstheme="minorHAnsi"/>
          <w:sz w:val="24"/>
          <w:szCs w:val="24"/>
        </w:rPr>
        <w:t xml:space="preserve"> είχαμε σαφώς μικρότερα ποσοστά επιχειρήσεων που αύξησαν τις τιμές τους στους τομείς των υπηρεσιών (26,4%) και της μεταποίησης (32,4%) σε σχέση με τις εμπορικές επιχειρήσεις</w:t>
      </w:r>
      <w:r w:rsidR="00EE3DCA">
        <w:rPr>
          <w:rFonts w:cstheme="minorHAnsi"/>
          <w:sz w:val="24"/>
          <w:szCs w:val="24"/>
        </w:rPr>
        <w:t xml:space="preserve"> </w:t>
      </w:r>
      <w:r w:rsidRPr="00246AE9">
        <w:rPr>
          <w:rFonts w:cstheme="minorHAnsi"/>
          <w:sz w:val="24"/>
          <w:szCs w:val="24"/>
        </w:rPr>
        <w:t xml:space="preserve">(40,7%). </w:t>
      </w:r>
    </w:p>
    <w:p w14:paraId="2A149E2D" w14:textId="08E7DDD6" w:rsidR="00246AE9" w:rsidRPr="00DE77D0" w:rsidRDefault="00840DEE" w:rsidP="00DE77D0">
      <w:pPr>
        <w:pStyle w:val="a3"/>
        <w:numPr>
          <w:ilvl w:val="0"/>
          <w:numId w:val="4"/>
        </w:numPr>
        <w:spacing w:after="0" w:line="360" w:lineRule="auto"/>
        <w:jc w:val="both"/>
        <w:rPr>
          <w:rFonts w:cstheme="minorHAnsi"/>
          <w:b/>
          <w:sz w:val="24"/>
          <w:szCs w:val="24"/>
          <w:u w:val="single"/>
        </w:rPr>
      </w:pPr>
      <w:r w:rsidRPr="00246AE9">
        <w:rPr>
          <w:rFonts w:cstheme="minorHAnsi"/>
          <w:sz w:val="24"/>
          <w:szCs w:val="24"/>
        </w:rPr>
        <w:t>Όσον αφορά τις εκτιμήσεις για το πρώτο εξάμηνο του 2024 φαίνεται ότι το πληθωριστικό κύμα θα συνεχιστεί, καθώς το 24,7% των επιχειρήσεων δήλωσε ότι σκοπεύει να αυξήσει τις τιμές του</w:t>
      </w:r>
      <w:r w:rsidR="005C570E">
        <w:rPr>
          <w:rFonts w:cstheme="minorHAnsi"/>
          <w:sz w:val="24"/>
          <w:szCs w:val="24"/>
        </w:rPr>
        <w:t>,</w:t>
      </w:r>
      <w:r w:rsidRPr="00246AE9">
        <w:rPr>
          <w:rFonts w:cstheme="minorHAnsi"/>
          <w:sz w:val="24"/>
          <w:szCs w:val="24"/>
        </w:rPr>
        <w:t xml:space="preserve"> έναντι μόλις 3% που δήλωσε ότι θα τις μειώσει. </w:t>
      </w:r>
    </w:p>
    <w:p w14:paraId="30B1BFB3" w14:textId="376BD3B3" w:rsidR="004771F2" w:rsidRPr="00246AE9" w:rsidRDefault="004771F2" w:rsidP="00246AE9">
      <w:pPr>
        <w:pStyle w:val="a3"/>
        <w:spacing w:after="0" w:line="360" w:lineRule="auto"/>
        <w:ind w:left="0"/>
        <w:jc w:val="both"/>
        <w:rPr>
          <w:rFonts w:cstheme="minorHAnsi"/>
          <w:b/>
          <w:sz w:val="24"/>
          <w:szCs w:val="24"/>
          <w:u w:val="single"/>
        </w:rPr>
      </w:pPr>
      <w:r w:rsidRPr="00246AE9">
        <w:rPr>
          <w:rFonts w:cstheme="minorHAnsi"/>
          <w:b/>
          <w:sz w:val="24"/>
          <w:szCs w:val="24"/>
          <w:u w:val="single"/>
        </w:rPr>
        <w:t>Επιπτώσεις ανατιμήσεων</w:t>
      </w:r>
      <w:r w:rsidR="00246AE9" w:rsidRPr="00246AE9">
        <w:rPr>
          <w:rFonts w:cstheme="minorHAnsi"/>
          <w:b/>
          <w:sz w:val="24"/>
          <w:szCs w:val="24"/>
          <w:u w:val="single"/>
        </w:rPr>
        <w:t xml:space="preserve"> – Αύξηση λειτουργικού κόστους</w:t>
      </w:r>
    </w:p>
    <w:p w14:paraId="4ADCF723" w14:textId="1B70A089" w:rsidR="00246AE9" w:rsidRPr="00246AE9" w:rsidRDefault="00246AE9" w:rsidP="00246AE9">
      <w:pPr>
        <w:pStyle w:val="a3"/>
        <w:numPr>
          <w:ilvl w:val="0"/>
          <w:numId w:val="9"/>
        </w:numPr>
        <w:spacing w:after="0" w:line="360" w:lineRule="auto"/>
        <w:jc w:val="both"/>
        <w:rPr>
          <w:rFonts w:cstheme="minorHAnsi"/>
          <w:sz w:val="24"/>
          <w:szCs w:val="24"/>
        </w:rPr>
      </w:pPr>
      <w:r w:rsidRPr="00246AE9">
        <w:rPr>
          <w:rFonts w:cstheme="minorHAnsi"/>
          <w:sz w:val="24"/>
          <w:szCs w:val="24"/>
        </w:rPr>
        <w:t xml:space="preserve">Οι αρνητικές επιπτώσεις των ανατιμήσεων για το λειτουργικό κόστος των επιχειρήσεων είναι εμφανείς </w:t>
      </w:r>
      <w:r w:rsidR="00E24121">
        <w:rPr>
          <w:rFonts w:cstheme="minorHAnsi"/>
          <w:sz w:val="24"/>
          <w:szCs w:val="24"/>
        </w:rPr>
        <w:t>σ</w:t>
      </w:r>
      <w:r w:rsidRPr="00246AE9">
        <w:rPr>
          <w:rFonts w:cstheme="minorHAnsi"/>
          <w:sz w:val="24"/>
          <w:szCs w:val="24"/>
        </w:rPr>
        <w:t xml:space="preserve">το ποσοστό των επιχειρήσεων που </w:t>
      </w:r>
      <w:r w:rsidR="00E24121" w:rsidRPr="00246AE9">
        <w:rPr>
          <w:rFonts w:cstheme="minorHAnsi"/>
          <w:sz w:val="24"/>
          <w:szCs w:val="24"/>
        </w:rPr>
        <w:t>δήλωσ</w:t>
      </w:r>
      <w:r w:rsidR="00E24121">
        <w:rPr>
          <w:rFonts w:cstheme="minorHAnsi"/>
          <w:sz w:val="24"/>
          <w:szCs w:val="24"/>
        </w:rPr>
        <w:t>ε</w:t>
      </w:r>
      <w:r w:rsidR="00E24121" w:rsidRPr="00246AE9">
        <w:rPr>
          <w:rFonts w:cstheme="minorHAnsi"/>
          <w:sz w:val="24"/>
          <w:szCs w:val="24"/>
        </w:rPr>
        <w:t xml:space="preserve"> </w:t>
      </w:r>
      <w:r w:rsidRPr="00246AE9">
        <w:rPr>
          <w:rFonts w:cstheme="minorHAnsi"/>
          <w:sz w:val="24"/>
          <w:szCs w:val="24"/>
        </w:rPr>
        <w:t xml:space="preserve">ότι έχει αυξηθεί τα τελευταία 2 χρόνια, δηλαδή από την εκδήλωση της ενεργειακής κρίσης. </w:t>
      </w:r>
    </w:p>
    <w:p w14:paraId="6D501CD4" w14:textId="77777777" w:rsidR="00246AE9" w:rsidRPr="00246AE9" w:rsidRDefault="00246AE9" w:rsidP="00246AE9">
      <w:pPr>
        <w:pStyle w:val="a3"/>
        <w:numPr>
          <w:ilvl w:val="0"/>
          <w:numId w:val="9"/>
        </w:numPr>
        <w:spacing w:after="0" w:line="360" w:lineRule="auto"/>
        <w:jc w:val="both"/>
        <w:rPr>
          <w:rFonts w:cstheme="minorHAnsi"/>
          <w:sz w:val="24"/>
          <w:szCs w:val="24"/>
        </w:rPr>
      </w:pPr>
      <w:r w:rsidRPr="00246AE9">
        <w:rPr>
          <w:rFonts w:cstheme="minorHAnsi"/>
          <w:sz w:val="24"/>
          <w:szCs w:val="24"/>
        </w:rPr>
        <w:t xml:space="preserve">Σχεδόν 9 στις 10 επιχειρήσεις δήλωσαν ότι το κόστος λειτουργίας τους αυξήθηκε. </w:t>
      </w:r>
    </w:p>
    <w:p w14:paraId="7B1D6F0A" w14:textId="77777777" w:rsidR="00246AE9" w:rsidRPr="00246AE9" w:rsidRDefault="00246AE9" w:rsidP="00246AE9">
      <w:pPr>
        <w:pStyle w:val="a3"/>
        <w:numPr>
          <w:ilvl w:val="0"/>
          <w:numId w:val="9"/>
        </w:numPr>
        <w:spacing w:after="0" w:line="360" w:lineRule="auto"/>
        <w:jc w:val="both"/>
        <w:rPr>
          <w:rFonts w:cstheme="minorHAnsi"/>
          <w:sz w:val="24"/>
          <w:szCs w:val="24"/>
        </w:rPr>
      </w:pPr>
      <w:proofErr w:type="spellStart"/>
      <w:r w:rsidRPr="00246AE9">
        <w:rPr>
          <w:rFonts w:cstheme="minorHAnsi"/>
          <w:sz w:val="24"/>
          <w:szCs w:val="24"/>
        </w:rPr>
        <w:t>Μεσοσταθμικά</w:t>
      </w:r>
      <w:proofErr w:type="spellEnd"/>
      <w:r w:rsidRPr="00246AE9">
        <w:rPr>
          <w:rFonts w:cstheme="minorHAnsi"/>
          <w:sz w:val="24"/>
          <w:szCs w:val="24"/>
        </w:rPr>
        <w:t xml:space="preserve">, για αυτές τις επιχειρήσεις το κόστος λειτουργίας αυξήθηκε κατά 35%. </w:t>
      </w:r>
    </w:p>
    <w:p w14:paraId="254B463F" w14:textId="4ACB6523" w:rsidR="00246AE9" w:rsidRPr="00246AE9" w:rsidRDefault="00246AE9" w:rsidP="00246AE9">
      <w:pPr>
        <w:pStyle w:val="a3"/>
        <w:numPr>
          <w:ilvl w:val="0"/>
          <w:numId w:val="9"/>
        </w:numPr>
        <w:spacing w:after="0" w:line="360" w:lineRule="auto"/>
        <w:jc w:val="both"/>
        <w:rPr>
          <w:rFonts w:cstheme="minorHAnsi"/>
          <w:sz w:val="24"/>
          <w:szCs w:val="24"/>
        </w:rPr>
      </w:pPr>
      <w:r w:rsidRPr="00246AE9">
        <w:rPr>
          <w:rFonts w:cstheme="minorHAnsi"/>
          <w:sz w:val="24"/>
          <w:szCs w:val="24"/>
        </w:rPr>
        <w:t xml:space="preserve">Τομεακά, το λειτουργικό κόστος των εμπορικών επιχειρήσεων αυξήθηκε </w:t>
      </w:r>
      <w:proofErr w:type="spellStart"/>
      <w:r w:rsidRPr="00246AE9">
        <w:rPr>
          <w:rFonts w:cstheme="minorHAnsi"/>
          <w:sz w:val="24"/>
          <w:szCs w:val="24"/>
        </w:rPr>
        <w:t>μεσοσταθμικά</w:t>
      </w:r>
      <w:proofErr w:type="spellEnd"/>
      <w:r w:rsidRPr="00246AE9">
        <w:rPr>
          <w:rFonts w:cstheme="minorHAnsi"/>
          <w:sz w:val="24"/>
          <w:szCs w:val="24"/>
        </w:rPr>
        <w:t xml:space="preserve"> κατά 34,6%, στη μεταποίηση κατά 39,2% και στις υπηρεσίες κατά 33,1%.</w:t>
      </w:r>
    </w:p>
    <w:p w14:paraId="2EB033D4" w14:textId="2D40AD64" w:rsidR="00462630" w:rsidRPr="00DE77D0" w:rsidRDefault="00246AE9" w:rsidP="00A01605">
      <w:pPr>
        <w:pStyle w:val="a3"/>
        <w:numPr>
          <w:ilvl w:val="0"/>
          <w:numId w:val="9"/>
        </w:numPr>
        <w:spacing w:after="0" w:line="360" w:lineRule="auto"/>
        <w:jc w:val="both"/>
        <w:rPr>
          <w:rFonts w:cstheme="minorHAnsi"/>
          <w:sz w:val="24"/>
          <w:szCs w:val="24"/>
        </w:rPr>
      </w:pPr>
      <w:r w:rsidRPr="00246AE9">
        <w:rPr>
          <w:rFonts w:cstheme="minorHAnsi"/>
          <w:sz w:val="24"/>
          <w:szCs w:val="24"/>
        </w:rPr>
        <w:t xml:space="preserve">Τέλος, στις επιχειρήσεις εστίασης το λειτουργικό κόστος αυξήθηκε </w:t>
      </w:r>
      <w:proofErr w:type="spellStart"/>
      <w:r w:rsidRPr="00246AE9">
        <w:rPr>
          <w:rFonts w:cstheme="minorHAnsi"/>
          <w:sz w:val="24"/>
          <w:szCs w:val="24"/>
        </w:rPr>
        <w:t>μεσοσταθμικά</w:t>
      </w:r>
      <w:proofErr w:type="spellEnd"/>
      <w:r w:rsidRPr="00246AE9">
        <w:rPr>
          <w:rFonts w:cstheme="minorHAnsi"/>
          <w:sz w:val="24"/>
          <w:szCs w:val="24"/>
        </w:rPr>
        <w:t xml:space="preserve"> κατά 46%.</w:t>
      </w:r>
    </w:p>
    <w:p w14:paraId="3EA1DC5F" w14:textId="77777777" w:rsidR="004771F2" w:rsidRPr="00246AE9" w:rsidRDefault="004771F2" w:rsidP="00A01605">
      <w:pPr>
        <w:pStyle w:val="a3"/>
        <w:spacing w:after="0" w:line="360" w:lineRule="auto"/>
        <w:ind w:left="0"/>
        <w:jc w:val="both"/>
        <w:rPr>
          <w:rFonts w:cstheme="minorHAnsi"/>
          <w:b/>
          <w:sz w:val="24"/>
          <w:szCs w:val="24"/>
          <w:u w:val="single"/>
        </w:rPr>
      </w:pPr>
      <w:r w:rsidRPr="00246AE9">
        <w:rPr>
          <w:rFonts w:cstheme="minorHAnsi"/>
          <w:b/>
          <w:sz w:val="24"/>
          <w:szCs w:val="24"/>
          <w:u w:val="single"/>
        </w:rPr>
        <w:t xml:space="preserve">Υποχρεώσεις-οφειλές </w:t>
      </w:r>
    </w:p>
    <w:p w14:paraId="628FF59C" w14:textId="72D6E734" w:rsidR="004771F2" w:rsidRPr="00246AE9" w:rsidRDefault="00246AE9" w:rsidP="00246AE9">
      <w:pPr>
        <w:pStyle w:val="a3"/>
        <w:numPr>
          <w:ilvl w:val="0"/>
          <w:numId w:val="10"/>
        </w:numPr>
        <w:spacing w:after="0" w:line="360" w:lineRule="auto"/>
        <w:jc w:val="both"/>
        <w:rPr>
          <w:rFonts w:eastAsia="Times New Roman" w:cstheme="minorHAnsi"/>
          <w:b/>
          <w:color w:val="1F497D" w:themeColor="text2"/>
          <w:sz w:val="24"/>
          <w:szCs w:val="24"/>
          <w:u w:val="single"/>
        </w:rPr>
      </w:pPr>
      <w:r w:rsidRPr="00246AE9">
        <w:rPr>
          <w:rFonts w:eastAsia="Times New Roman" w:cstheme="minorHAnsi"/>
          <w:sz w:val="24"/>
          <w:szCs w:val="24"/>
        </w:rPr>
        <w:t>Σχετικά σταθερή παραμένει η κατάσταση αναφορικά με τα ποσοστά των μικρών και πολύ μικρών επιχειρήσεων με καθυστερημένες υποχρεώσεις, τα οποία ωστόσο</w:t>
      </w:r>
      <w:r w:rsidR="00E24121">
        <w:rPr>
          <w:rFonts w:eastAsia="Times New Roman" w:cstheme="minorHAnsi"/>
          <w:sz w:val="24"/>
          <w:szCs w:val="24"/>
        </w:rPr>
        <w:t>,</w:t>
      </w:r>
      <w:r w:rsidRPr="00246AE9">
        <w:rPr>
          <w:rFonts w:eastAsia="Times New Roman" w:cstheme="minorHAnsi"/>
          <w:sz w:val="24"/>
          <w:szCs w:val="24"/>
        </w:rPr>
        <w:t xml:space="preserve"> παρά την αποκλιμάκωση που καταγράφηκε στις 2 προηγούμενες έρευνες</w:t>
      </w:r>
      <w:r w:rsidR="00E24121">
        <w:rPr>
          <w:rFonts w:eastAsia="Times New Roman" w:cstheme="minorHAnsi"/>
          <w:sz w:val="24"/>
          <w:szCs w:val="24"/>
        </w:rPr>
        <w:t>,</w:t>
      </w:r>
      <w:r w:rsidRPr="00246AE9">
        <w:rPr>
          <w:rFonts w:eastAsia="Times New Roman" w:cstheme="minorHAnsi"/>
          <w:sz w:val="24"/>
          <w:szCs w:val="24"/>
        </w:rPr>
        <w:t xml:space="preserve"> παραμένουν </w:t>
      </w:r>
      <w:r w:rsidR="007275AA" w:rsidRPr="00246AE9">
        <w:rPr>
          <w:rFonts w:eastAsia="Times New Roman" w:cstheme="minorHAnsi"/>
          <w:sz w:val="24"/>
          <w:szCs w:val="24"/>
        </w:rPr>
        <w:t xml:space="preserve">σε ιδιαίτερα υψηλά </w:t>
      </w:r>
      <w:r w:rsidRPr="00246AE9">
        <w:rPr>
          <w:rFonts w:eastAsia="Times New Roman" w:cstheme="minorHAnsi"/>
          <w:sz w:val="24"/>
          <w:szCs w:val="24"/>
        </w:rPr>
        <w:t>επίπεδα</w:t>
      </w:r>
      <w:r w:rsidR="007275AA" w:rsidRPr="00246AE9">
        <w:rPr>
          <w:rFonts w:eastAsia="Times New Roman" w:cstheme="minorHAnsi"/>
          <w:sz w:val="24"/>
          <w:szCs w:val="24"/>
        </w:rPr>
        <w:t>.</w:t>
      </w:r>
      <w:r w:rsidR="007275AA" w:rsidRPr="00246AE9">
        <w:rPr>
          <w:rFonts w:eastAsia="Times New Roman" w:cstheme="minorHAnsi"/>
          <w:b/>
          <w:sz w:val="24"/>
          <w:szCs w:val="24"/>
        </w:rPr>
        <w:t xml:space="preserve"> </w:t>
      </w:r>
      <w:r w:rsidR="007275AA" w:rsidRPr="00246AE9">
        <w:rPr>
          <w:rFonts w:eastAsia="Times New Roman" w:cstheme="minorHAnsi"/>
          <w:sz w:val="24"/>
          <w:szCs w:val="24"/>
        </w:rPr>
        <w:t xml:space="preserve">Συγκεκριμένα, </w:t>
      </w:r>
      <w:r w:rsidRPr="00246AE9">
        <w:rPr>
          <w:rFonts w:eastAsia="Times New Roman" w:cstheme="minorHAnsi"/>
          <w:sz w:val="24"/>
          <w:szCs w:val="24"/>
        </w:rPr>
        <w:t xml:space="preserve">το 30,6% των μικρών και πολύ μικρών επιχειρήσεων </w:t>
      </w:r>
      <w:r w:rsidR="00462630" w:rsidRPr="00246AE9">
        <w:rPr>
          <w:rFonts w:eastAsia="Times New Roman" w:cstheme="minorHAnsi"/>
          <w:sz w:val="24"/>
          <w:szCs w:val="24"/>
        </w:rPr>
        <w:t>έχει το</w:t>
      </w:r>
      <w:r w:rsidRPr="00246AE9">
        <w:rPr>
          <w:rFonts w:eastAsia="Times New Roman" w:cstheme="minorHAnsi"/>
          <w:sz w:val="24"/>
          <w:szCs w:val="24"/>
        </w:rPr>
        <w:t>υλάχιστον 1 ληξιπρόθεσμη οφειλή</w:t>
      </w:r>
      <w:r w:rsidR="00462630" w:rsidRPr="00246AE9">
        <w:rPr>
          <w:rFonts w:eastAsia="Times New Roman" w:cstheme="minorHAnsi"/>
          <w:sz w:val="24"/>
          <w:szCs w:val="24"/>
        </w:rPr>
        <w:t>.</w:t>
      </w:r>
      <w:r w:rsidR="004771F2" w:rsidRPr="00246AE9">
        <w:rPr>
          <w:rFonts w:cstheme="minorHAnsi"/>
          <w:sz w:val="24"/>
          <w:szCs w:val="24"/>
        </w:rPr>
        <w:t xml:space="preserve"> </w:t>
      </w:r>
    </w:p>
    <w:p w14:paraId="47CE5E5A" w14:textId="7D7BE5B6" w:rsidR="004771F2" w:rsidRPr="00246AE9" w:rsidRDefault="00246AE9" w:rsidP="00246AE9">
      <w:pPr>
        <w:pStyle w:val="a3"/>
        <w:numPr>
          <w:ilvl w:val="0"/>
          <w:numId w:val="10"/>
        </w:numPr>
        <w:spacing w:after="0" w:line="360" w:lineRule="auto"/>
        <w:jc w:val="both"/>
        <w:rPr>
          <w:rFonts w:eastAsia="Times New Roman" w:cstheme="minorHAnsi"/>
          <w:b/>
          <w:color w:val="1F497D" w:themeColor="text2"/>
          <w:sz w:val="24"/>
          <w:szCs w:val="24"/>
          <w:u w:val="single"/>
        </w:rPr>
      </w:pPr>
      <w:r w:rsidRPr="00246AE9">
        <w:rPr>
          <w:rFonts w:eastAsia="Times New Roman" w:cstheme="minorHAnsi"/>
          <w:sz w:val="24"/>
          <w:szCs w:val="24"/>
        </w:rPr>
        <w:t>Μείωση</w:t>
      </w:r>
      <w:r w:rsidR="004771F2" w:rsidRPr="00246AE9">
        <w:rPr>
          <w:rFonts w:eastAsia="Times New Roman" w:cstheme="minorHAnsi"/>
          <w:sz w:val="24"/>
          <w:szCs w:val="24"/>
        </w:rPr>
        <w:t xml:space="preserve"> καταγράφεται στα ποσοστά των επιχειρήσεων με πολλαπλές ληξιπρόθεσμες οφειλές. Συγκεκριμένα</w:t>
      </w:r>
      <w:r w:rsidR="001D2296" w:rsidRPr="00246AE9">
        <w:rPr>
          <w:rFonts w:eastAsia="Times New Roman" w:cstheme="minorHAnsi"/>
          <w:sz w:val="24"/>
          <w:szCs w:val="24"/>
        </w:rPr>
        <w:t>,</w:t>
      </w:r>
      <w:r w:rsidR="004771F2" w:rsidRPr="00246AE9">
        <w:rPr>
          <w:rFonts w:eastAsia="Times New Roman" w:cstheme="minorHAnsi"/>
          <w:sz w:val="24"/>
          <w:szCs w:val="24"/>
        </w:rPr>
        <w:t xml:space="preserve"> οι μικρές και πολύ μικρές επιχειρήσεις με </w:t>
      </w:r>
      <w:r w:rsidRPr="00246AE9">
        <w:rPr>
          <w:rFonts w:eastAsia="Times New Roman" w:cstheme="minorHAnsi"/>
          <w:sz w:val="24"/>
          <w:szCs w:val="24"/>
        </w:rPr>
        <w:t>3 ή και περισσότερες</w:t>
      </w:r>
      <w:r w:rsidR="004771F2" w:rsidRPr="00246AE9">
        <w:rPr>
          <w:rFonts w:eastAsia="Times New Roman" w:cstheme="minorHAnsi"/>
          <w:sz w:val="24"/>
          <w:szCs w:val="24"/>
        </w:rPr>
        <w:t xml:space="preserve"> ληξιπρόθεσμες οφειλές υποχωρούν </w:t>
      </w:r>
      <w:r w:rsidRPr="00246AE9">
        <w:rPr>
          <w:rFonts w:eastAsia="Times New Roman" w:cstheme="minorHAnsi"/>
          <w:sz w:val="24"/>
          <w:szCs w:val="24"/>
        </w:rPr>
        <w:t>στο 10,1%</w:t>
      </w:r>
      <w:r w:rsidR="00E24121">
        <w:rPr>
          <w:rFonts w:eastAsia="Times New Roman" w:cstheme="minorHAnsi"/>
          <w:sz w:val="24"/>
          <w:szCs w:val="24"/>
        </w:rPr>
        <w:t>,</w:t>
      </w:r>
      <w:r w:rsidRPr="00246AE9">
        <w:rPr>
          <w:rFonts w:eastAsia="Times New Roman" w:cstheme="minorHAnsi"/>
          <w:sz w:val="24"/>
          <w:szCs w:val="24"/>
        </w:rPr>
        <w:t xml:space="preserve"> έναντι 12% που ήταν το προηγούμενο εξάμηνο, ενώ από την άλλη μεριά </w:t>
      </w:r>
      <w:r w:rsidRPr="00246AE9">
        <w:rPr>
          <w:rFonts w:eastAsia="Times New Roman" w:cstheme="minorHAnsi"/>
          <w:sz w:val="24"/>
          <w:szCs w:val="24"/>
        </w:rPr>
        <w:lastRenderedPageBreak/>
        <w:t>αυξημένα είναι τα ποσοστά των επιχειρήσεων με 2 καθυστερημένες υποχρεώσεις (7,4%</w:t>
      </w:r>
      <w:r w:rsidR="00E24121">
        <w:rPr>
          <w:rFonts w:eastAsia="Times New Roman" w:cstheme="minorHAnsi"/>
          <w:sz w:val="24"/>
          <w:szCs w:val="24"/>
        </w:rPr>
        <w:t>,</w:t>
      </w:r>
      <w:r w:rsidRPr="00246AE9">
        <w:rPr>
          <w:rFonts w:eastAsia="Times New Roman" w:cstheme="minorHAnsi"/>
          <w:sz w:val="24"/>
          <w:szCs w:val="24"/>
        </w:rPr>
        <w:t xml:space="preserve"> έναντι 5,6% το προηγούμενο εξάμηνο) και με 1 ληξιπρόθεσμη οφειλή (13,1%</w:t>
      </w:r>
      <w:r w:rsidR="00E24121">
        <w:rPr>
          <w:rFonts w:eastAsia="Times New Roman" w:cstheme="minorHAnsi"/>
          <w:sz w:val="24"/>
          <w:szCs w:val="24"/>
        </w:rPr>
        <w:t>,</w:t>
      </w:r>
      <w:r w:rsidRPr="00246AE9">
        <w:rPr>
          <w:rFonts w:eastAsia="Times New Roman" w:cstheme="minorHAnsi"/>
          <w:sz w:val="24"/>
          <w:szCs w:val="24"/>
        </w:rPr>
        <w:t xml:space="preserve"> έναντι 9,6% το προηγούμενο εξάμηνο). </w:t>
      </w:r>
    </w:p>
    <w:p w14:paraId="6FED0385" w14:textId="39749BDF" w:rsidR="00246AE9" w:rsidRPr="00DE77D0" w:rsidRDefault="001D2296" w:rsidP="00246AE9">
      <w:pPr>
        <w:pStyle w:val="a3"/>
        <w:numPr>
          <w:ilvl w:val="0"/>
          <w:numId w:val="10"/>
        </w:numPr>
        <w:spacing w:after="0" w:line="360" w:lineRule="auto"/>
        <w:jc w:val="both"/>
        <w:rPr>
          <w:rFonts w:eastAsia="Times New Roman" w:cstheme="minorHAnsi"/>
          <w:sz w:val="24"/>
          <w:szCs w:val="24"/>
        </w:rPr>
      </w:pPr>
      <w:r w:rsidRPr="00246AE9">
        <w:rPr>
          <w:rFonts w:eastAsia="Times New Roman" w:cstheme="minorHAnsi"/>
          <w:sz w:val="24"/>
          <w:szCs w:val="24"/>
        </w:rPr>
        <w:t>Ο</w:t>
      </w:r>
      <w:r w:rsidR="004771F2" w:rsidRPr="00246AE9">
        <w:rPr>
          <w:rFonts w:eastAsia="Times New Roman" w:cstheme="minorHAnsi"/>
          <w:sz w:val="24"/>
          <w:szCs w:val="24"/>
        </w:rPr>
        <w:t xml:space="preserve"> βαθμός υπερχρέωσης των μικρών και πολύ μικρών </w:t>
      </w:r>
      <w:r w:rsidR="00E24121">
        <w:rPr>
          <w:rFonts w:eastAsia="Times New Roman" w:cstheme="minorHAnsi"/>
          <w:sz w:val="24"/>
          <w:szCs w:val="24"/>
        </w:rPr>
        <w:t xml:space="preserve">επιχειρήσεων </w:t>
      </w:r>
      <w:r w:rsidR="004771F2" w:rsidRPr="00246AE9">
        <w:rPr>
          <w:rFonts w:eastAsia="Times New Roman" w:cstheme="minorHAnsi"/>
          <w:sz w:val="24"/>
          <w:szCs w:val="24"/>
        </w:rPr>
        <w:t>διαφοροποιείται ανάλογα με τον κλάδο και το μέγεθ</w:t>
      </w:r>
      <w:r w:rsidR="00E24121">
        <w:rPr>
          <w:rFonts w:eastAsia="Times New Roman" w:cstheme="minorHAnsi"/>
          <w:sz w:val="24"/>
          <w:szCs w:val="24"/>
        </w:rPr>
        <w:t>ό</w:t>
      </w:r>
      <w:r w:rsidR="004771F2" w:rsidRPr="00246AE9">
        <w:rPr>
          <w:rFonts w:eastAsia="Times New Roman" w:cstheme="minorHAnsi"/>
          <w:sz w:val="24"/>
          <w:szCs w:val="24"/>
        </w:rPr>
        <w:t xml:space="preserve">ς </w:t>
      </w:r>
      <w:r w:rsidR="00E24121">
        <w:rPr>
          <w:rFonts w:eastAsia="Times New Roman" w:cstheme="minorHAnsi"/>
          <w:sz w:val="24"/>
          <w:szCs w:val="24"/>
        </w:rPr>
        <w:t>τους</w:t>
      </w:r>
      <w:r w:rsidR="004771F2" w:rsidRPr="00246AE9">
        <w:rPr>
          <w:rFonts w:eastAsia="Times New Roman" w:cstheme="minorHAnsi"/>
          <w:sz w:val="24"/>
          <w:szCs w:val="24"/>
        </w:rPr>
        <w:t xml:space="preserve">. </w:t>
      </w:r>
      <w:r w:rsidR="00246AE9" w:rsidRPr="00246AE9">
        <w:rPr>
          <w:rFonts w:eastAsia="Times New Roman" w:cstheme="minorHAnsi"/>
          <w:sz w:val="24"/>
          <w:szCs w:val="24"/>
        </w:rPr>
        <w:t>Οι επιχειρήσεις εστίασης φαίνεται πως αντιμετωπίζουν σοβαρό πρόβλημα υπερχρέωσης</w:t>
      </w:r>
      <w:r w:rsidR="00E24121">
        <w:rPr>
          <w:rFonts w:eastAsia="Times New Roman" w:cstheme="minorHAnsi"/>
          <w:sz w:val="24"/>
          <w:szCs w:val="24"/>
        </w:rPr>
        <w:t>,</w:t>
      </w:r>
      <w:r w:rsidR="00246AE9" w:rsidRPr="00246AE9">
        <w:rPr>
          <w:rFonts w:eastAsia="Times New Roman" w:cstheme="minorHAnsi"/>
          <w:sz w:val="24"/>
          <w:szCs w:val="24"/>
        </w:rPr>
        <w:t xml:space="preserve"> καθώς το 14,7% αυτών έχει τρεις ή και περισσότερες ληξιπρόθεσμες οφειλές. </w:t>
      </w:r>
      <w:r w:rsidR="00E24121">
        <w:rPr>
          <w:rFonts w:eastAsia="Times New Roman" w:cstheme="minorHAnsi"/>
          <w:sz w:val="24"/>
          <w:szCs w:val="24"/>
        </w:rPr>
        <w:t>Το ίδιο ισχύει για</w:t>
      </w:r>
      <w:r w:rsidR="00246AE9" w:rsidRPr="00246AE9">
        <w:rPr>
          <w:rFonts w:eastAsia="Times New Roman" w:cstheme="minorHAnsi"/>
          <w:sz w:val="24"/>
          <w:szCs w:val="24"/>
        </w:rPr>
        <w:t xml:space="preserve"> </w:t>
      </w:r>
      <w:r w:rsidR="00E24121">
        <w:rPr>
          <w:rFonts w:eastAsia="Times New Roman" w:cstheme="minorHAnsi"/>
          <w:sz w:val="24"/>
          <w:szCs w:val="24"/>
        </w:rPr>
        <w:t>τις</w:t>
      </w:r>
      <w:r w:rsidR="00246AE9" w:rsidRPr="00246AE9">
        <w:rPr>
          <w:rFonts w:eastAsia="Times New Roman" w:cstheme="minorHAnsi"/>
          <w:sz w:val="24"/>
          <w:szCs w:val="24"/>
        </w:rPr>
        <w:t xml:space="preserve"> επιχειρήσεις χωρίς προσωπικό (13,2%) και </w:t>
      </w:r>
      <w:r w:rsidR="00E24121">
        <w:rPr>
          <w:rFonts w:eastAsia="Times New Roman" w:cstheme="minorHAnsi"/>
          <w:sz w:val="24"/>
          <w:szCs w:val="24"/>
        </w:rPr>
        <w:t>τις</w:t>
      </w:r>
      <w:r w:rsidR="00E24121" w:rsidRPr="00246AE9">
        <w:rPr>
          <w:rFonts w:eastAsia="Times New Roman" w:cstheme="minorHAnsi"/>
          <w:sz w:val="24"/>
          <w:szCs w:val="24"/>
        </w:rPr>
        <w:t xml:space="preserve"> </w:t>
      </w:r>
      <w:r w:rsidR="00246AE9" w:rsidRPr="00246AE9">
        <w:rPr>
          <w:rFonts w:eastAsia="Times New Roman" w:cstheme="minorHAnsi"/>
          <w:sz w:val="24"/>
          <w:szCs w:val="24"/>
        </w:rPr>
        <w:t>επιχειρήσεις με ετήσιο κύκλο εργασιών έως 50.000 € (15,5%).</w:t>
      </w:r>
    </w:p>
    <w:p w14:paraId="0F0AC2F6" w14:textId="77777777" w:rsidR="004771F2" w:rsidRPr="00473C01" w:rsidRDefault="004771F2" w:rsidP="00A01605">
      <w:pPr>
        <w:spacing w:after="0" w:line="360" w:lineRule="auto"/>
        <w:contextualSpacing/>
        <w:jc w:val="both"/>
        <w:rPr>
          <w:rFonts w:eastAsia="Times New Roman" w:cstheme="minorHAnsi"/>
          <w:sz w:val="24"/>
          <w:szCs w:val="24"/>
          <w:u w:val="single"/>
        </w:rPr>
      </w:pPr>
      <w:r w:rsidRPr="00473C01">
        <w:rPr>
          <w:rFonts w:eastAsia="Times New Roman" w:cstheme="minorHAnsi"/>
          <w:b/>
          <w:bCs/>
          <w:sz w:val="24"/>
          <w:szCs w:val="24"/>
          <w:u w:val="single"/>
        </w:rPr>
        <w:t xml:space="preserve">Δείκτες αβεβαιότητας και βιωσιμότητας </w:t>
      </w:r>
    </w:p>
    <w:p w14:paraId="7F84E56D" w14:textId="3F200F44" w:rsidR="001D2296" w:rsidRPr="00473C01" w:rsidRDefault="00473C01" w:rsidP="00473C01">
      <w:pPr>
        <w:pStyle w:val="a3"/>
        <w:numPr>
          <w:ilvl w:val="0"/>
          <w:numId w:val="13"/>
        </w:numPr>
        <w:spacing w:after="0" w:line="360" w:lineRule="auto"/>
        <w:jc w:val="both"/>
        <w:rPr>
          <w:rFonts w:eastAsia="Times New Roman" w:cstheme="minorHAnsi"/>
          <w:sz w:val="24"/>
          <w:szCs w:val="24"/>
        </w:rPr>
      </w:pPr>
      <w:r w:rsidRPr="00473C01">
        <w:rPr>
          <w:rFonts w:eastAsia="Times New Roman" w:cstheme="minorHAnsi"/>
          <w:sz w:val="24"/>
          <w:szCs w:val="24"/>
        </w:rPr>
        <w:t>Περισσότερο απαισιόδοξες είναι οι μικρές και πολύ μικρές επιχειρήσεις σχετικά με τη μελλοντική τους βιωσιμότητα</w:t>
      </w:r>
      <w:r w:rsidR="00E24121">
        <w:rPr>
          <w:rFonts w:eastAsia="Times New Roman" w:cstheme="minorHAnsi"/>
          <w:sz w:val="24"/>
          <w:szCs w:val="24"/>
        </w:rPr>
        <w:t>,</w:t>
      </w:r>
      <w:r w:rsidRPr="00473C01">
        <w:rPr>
          <w:rFonts w:eastAsia="Times New Roman" w:cstheme="minorHAnsi"/>
          <w:sz w:val="24"/>
          <w:szCs w:val="24"/>
        </w:rPr>
        <w:t xml:space="preserve"> καθώς ο δείκτης αβεβαιότητας</w:t>
      </w:r>
      <w:r w:rsidR="00EE3DCA">
        <w:rPr>
          <w:rFonts w:eastAsia="Times New Roman" w:cstheme="minorHAnsi"/>
          <w:sz w:val="24"/>
          <w:szCs w:val="24"/>
        </w:rPr>
        <w:t xml:space="preserve"> </w:t>
      </w:r>
      <w:r w:rsidRPr="00473C01">
        <w:rPr>
          <w:rFonts w:eastAsia="Times New Roman" w:cstheme="minorHAnsi"/>
          <w:sz w:val="24"/>
          <w:szCs w:val="24"/>
        </w:rPr>
        <w:t>ανήλθε στις 35,7 μονάδες καταγράφοντας αύξηση 4,8 μονάδων σε σχέση με το προηγούμενο εξάμηνο.</w:t>
      </w:r>
      <w:r w:rsidR="00EE3DCA">
        <w:rPr>
          <w:rFonts w:eastAsia="Times New Roman" w:cstheme="minorHAnsi"/>
          <w:sz w:val="24"/>
          <w:szCs w:val="24"/>
        </w:rPr>
        <w:t xml:space="preserve"> </w:t>
      </w:r>
    </w:p>
    <w:p w14:paraId="78EB21E0" w14:textId="4BF67959" w:rsidR="00473C01" w:rsidRPr="00DE77D0" w:rsidRDefault="00473C01" w:rsidP="00473C01">
      <w:pPr>
        <w:pStyle w:val="a3"/>
        <w:numPr>
          <w:ilvl w:val="0"/>
          <w:numId w:val="13"/>
        </w:numPr>
        <w:spacing w:after="0" w:line="360" w:lineRule="auto"/>
        <w:jc w:val="both"/>
        <w:rPr>
          <w:rFonts w:cstheme="minorHAnsi"/>
          <w:sz w:val="24"/>
          <w:szCs w:val="24"/>
        </w:rPr>
      </w:pPr>
      <w:r>
        <w:rPr>
          <w:rFonts w:eastAsia="Times New Roman" w:cstheme="minorHAnsi"/>
          <w:sz w:val="24"/>
          <w:szCs w:val="24"/>
        </w:rPr>
        <w:t>Από την άλλη μεριά</w:t>
      </w:r>
      <w:r w:rsidR="00E24121">
        <w:rPr>
          <w:rFonts w:eastAsia="Times New Roman" w:cstheme="minorHAnsi"/>
          <w:sz w:val="24"/>
          <w:szCs w:val="24"/>
        </w:rPr>
        <w:t>,</w:t>
      </w:r>
      <w:r>
        <w:rPr>
          <w:rFonts w:eastAsia="Times New Roman" w:cstheme="minorHAnsi"/>
          <w:sz w:val="24"/>
          <w:szCs w:val="24"/>
        </w:rPr>
        <w:t xml:space="preserve"> καλύτερη είναι</w:t>
      </w:r>
      <w:r w:rsidRPr="00473C01">
        <w:rPr>
          <w:rFonts w:eastAsia="Times New Roman" w:cstheme="minorHAnsi"/>
          <w:sz w:val="24"/>
          <w:szCs w:val="24"/>
        </w:rPr>
        <w:t xml:space="preserve"> η εικόνα ως προς τον δείκτη βιωσιμότητας, καθώς μόλις το 2,2% των επιχειρήσεων εκφράζει το φόβο για διακοπή της δραστηριότητ</w:t>
      </w:r>
      <w:r w:rsidR="00E24121">
        <w:rPr>
          <w:rFonts w:eastAsia="Times New Roman" w:cstheme="minorHAnsi"/>
          <w:sz w:val="24"/>
          <w:szCs w:val="24"/>
        </w:rPr>
        <w:t>ά</w:t>
      </w:r>
      <w:r w:rsidRPr="00473C01">
        <w:rPr>
          <w:rFonts w:eastAsia="Times New Roman" w:cstheme="minorHAnsi"/>
          <w:sz w:val="24"/>
          <w:szCs w:val="24"/>
        </w:rPr>
        <w:t xml:space="preserve">ς του το αμέσως επόμενο χρονικό διάστημα, έναντι 4,7% που ήταν τον Ιούλιο του 2023. </w:t>
      </w:r>
    </w:p>
    <w:p w14:paraId="73BFD00F" w14:textId="4FADCAD3" w:rsidR="005D1BC3" w:rsidRPr="00473C01" w:rsidRDefault="005D1BC3" w:rsidP="005D1BC3">
      <w:pPr>
        <w:spacing w:after="0" w:line="360" w:lineRule="auto"/>
        <w:contextualSpacing/>
        <w:jc w:val="both"/>
        <w:rPr>
          <w:rFonts w:eastAsia="Times New Roman" w:cstheme="minorHAnsi"/>
          <w:b/>
          <w:bCs/>
          <w:sz w:val="24"/>
          <w:szCs w:val="24"/>
          <w:u w:val="single"/>
        </w:rPr>
      </w:pPr>
      <w:r w:rsidRPr="00473C01">
        <w:rPr>
          <w:rFonts w:eastAsia="Times New Roman" w:cstheme="minorHAnsi"/>
          <w:b/>
          <w:bCs/>
          <w:sz w:val="24"/>
          <w:szCs w:val="24"/>
          <w:u w:val="single"/>
        </w:rPr>
        <w:t>Επιπτώσεις νέου τεκμαρτού τρόπου φορολόγησης των ατομικών επιχειρήσεων</w:t>
      </w:r>
    </w:p>
    <w:p w14:paraId="7CE1451B" w14:textId="77777777" w:rsidR="00473C01" w:rsidRDefault="00473C01" w:rsidP="00473C01">
      <w:pPr>
        <w:pStyle w:val="a3"/>
        <w:numPr>
          <w:ilvl w:val="0"/>
          <w:numId w:val="20"/>
        </w:numPr>
        <w:spacing w:after="0" w:line="360" w:lineRule="auto"/>
        <w:jc w:val="both"/>
        <w:rPr>
          <w:rFonts w:eastAsia="Times New Roman" w:cstheme="minorHAnsi"/>
          <w:sz w:val="24"/>
          <w:szCs w:val="24"/>
        </w:rPr>
      </w:pPr>
      <w:r>
        <w:rPr>
          <w:rFonts w:eastAsia="Times New Roman" w:cstheme="minorHAnsi"/>
          <w:sz w:val="24"/>
          <w:szCs w:val="24"/>
        </w:rPr>
        <w:t>Αναφορικά με το ποιες πιστεύουν οι επιχειρήσεις ότι θα είναι οι επιπτώσεις από την εφαρμογή του νέου τεκμαρτού τρόπου</w:t>
      </w:r>
      <w:r w:rsidRPr="00473C01">
        <w:rPr>
          <w:rFonts w:eastAsia="Times New Roman" w:cstheme="minorHAnsi"/>
          <w:sz w:val="24"/>
          <w:szCs w:val="24"/>
        </w:rPr>
        <w:t xml:space="preserve"> φορολόγησης των ατομικών επιχειρήσεων</w:t>
      </w:r>
      <w:r>
        <w:rPr>
          <w:rFonts w:eastAsia="Times New Roman" w:cstheme="minorHAnsi"/>
          <w:sz w:val="24"/>
          <w:szCs w:val="24"/>
        </w:rPr>
        <w:t>:</w:t>
      </w:r>
    </w:p>
    <w:p w14:paraId="4E0008F5" w14:textId="543FD621" w:rsidR="00473C01" w:rsidRDefault="00473C01" w:rsidP="00473C01">
      <w:pPr>
        <w:pStyle w:val="a3"/>
        <w:numPr>
          <w:ilvl w:val="1"/>
          <w:numId w:val="20"/>
        </w:numPr>
        <w:spacing w:after="0" w:line="360" w:lineRule="auto"/>
        <w:jc w:val="both"/>
        <w:rPr>
          <w:rFonts w:eastAsia="Times New Roman" w:cstheme="minorHAnsi"/>
          <w:sz w:val="24"/>
          <w:szCs w:val="24"/>
        </w:rPr>
      </w:pPr>
      <w:r w:rsidRPr="00473C01">
        <w:rPr>
          <w:rFonts w:eastAsia="Times New Roman" w:cstheme="minorHAnsi"/>
          <w:sz w:val="24"/>
          <w:szCs w:val="24"/>
        </w:rPr>
        <w:t>6 στις 10 επιχειρήσεις (61%) θεωρούν ότι ο νέος τεκμαρτός τρόπος φορολόγησης των ατομικών επιχειρή</w:t>
      </w:r>
      <w:r>
        <w:rPr>
          <w:rFonts w:eastAsia="Times New Roman" w:cstheme="minorHAnsi"/>
          <w:sz w:val="24"/>
          <w:szCs w:val="24"/>
        </w:rPr>
        <w:t>σεων θα οδηγήσει σε νέα λουκέτα.</w:t>
      </w:r>
    </w:p>
    <w:p w14:paraId="1695C646" w14:textId="54009C1C" w:rsidR="00473C01" w:rsidRDefault="00A167C9" w:rsidP="00473C01">
      <w:pPr>
        <w:pStyle w:val="a3"/>
        <w:numPr>
          <w:ilvl w:val="1"/>
          <w:numId w:val="20"/>
        </w:numPr>
        <w:spacing w:after="0" w:line="360" w:lineRule="auto"/>
        <w:jc w:val="both"/>
        <w:rPr>
          <w:rFonts w:eastAsia="Times New Roman" w:cstheme="minorHAnsi"/>
          <w:sz w:val="24"/>
          <w:szCs w:val="24"/>
        </w:rPr>
      </w:pPr>
      <w:r>
        <w:rPr>
          <w:rFonts w:eastAsia="Times New Roman" w:cstheme="minorHAnsi"/>
          <w:sz w:val="24"/>
          <w:szCs w:val="24"/>
        </w:rPr>
        <w:t>Πάνω</w:t>
      </w:r>
      <w:r w:rsidRPr="00473C01">
        <w:rPr>
          <w:rFonts w:eastAsia="Times New Roman" w:cstheme="minorHAnsi"/>
          <w:sz w:val="24"/>
          <w:szCs w:val="24"/>
        </w:rPr>
        <w:t xml:space="preserve"> </w:t>
      </w:r>
      <w:r w:rsidR="00473C01" w:rsidRPr="00473C01">
        <w:rPr>
          <w:rFonts w:eastAsia="Times New Roman" w:cstheme="minorHAnsi"/>
          <w:sz w:val="24"/>
          <w:szCs w:val="24"/>
        </w:rPr>
        <w:t xml:space="preserve">από 1 στις 4 επιχειρήσεις (27,1%) </w:t>
      </w:r>
      <w:r w:rsidRPr="00473C01">
        <w:rPr>
          <w:rFonts w:eastAsia="Times New Roman" w:cstheme="minorHAnsi"/>
          <w:sz w:val="24"/>
          <w:szCs w:val="24"/>
        </w:rPr>
        <w:t>θεωρ</w:t>
      </w:r>
      <w:r>
        <w:rPr>
          <w:rFonts w:eastAsia="Times New Roman" w:cstheme="minorHAnsi"/>
          <w:sz w:val="24"/>
          <w:szCs w:val="24"/>
        </w:rPr>
        <w:t>εί</w:t>
      </w:r>
      <w:r w:rsidRPr="00473C01">
        <w:rPr>
          <w:rFonts w:eastAsia="Times New Roman" w:cstheme="minorHAnsi"/>
          <w:sz w:val="24"/>
          <w:szCs w:val="24"/>
        </w:rPr>
        <w:t xml:space="preserve"> </w:t>
      </w:r>
      <w:r w:rsidR="00473C01" w:rsidRPr="00473C01">
        <w:rPr>
          <w:rFonts w:eastAsia="Times New Roman" w:cstheme="minorHAnsi"/>
          <w:sz w:val="24"/>
          <w:szCs w:val="24"/>
        </w:rPr>
        <w:t xml:space="preserve">ότι θα </w:t>
      </w:r>
      <w:r w:rsidRPr="00473C01">
        <w:rPr>
          <w:rFonts w:eastAsia="Times New Roman" w:cstheme="minorHAnsi"/>
          <w:sz w:val="24"/>
          <w:szCs w:val="24"/>
        </w:rPr>
        <w:t>αυξ</w:t>
      </w:r>
      <w:r>
        <w:rPr>
          <w:rFonts w:eastAsia="Times New Roman" w:cstheme="minorHAnsi"/>
          <w:sz w:val="24"/>
          <w:szCs w:val="24"/>
        </w:rPr>
        <w:t>ηθεί</w:t>
      </w:r>
      <w:r w:rsidRPr="00473C01">
        <w:rPr>
          <w:rFonts w:eastAsia="Times New Roman" w:cstheme="minorHAnsi"/>
          <w:sz w:val="24"/>
          <w:szCs w:val="24"/>
        </w:rPr>
        <w:t xml:space="preserve"> </w:t>
      </w:r>
      <w:r w:rsidR="00473C01" w:rsidRPr="00473C01">
        <w:rPr>
          <w:rFonts w:eastAsia="Times New Roman" w:cstheme="minorHAnsi"/>
          <w:sz w:val="24"/>
          <w:szCs w:val="24"/>
        </w:rPr>
        <w:t>η φοροδιαφυγή. Δηλαδή</w:t>
      </w:r>
      <w:r w:rsidR="00473C01">
        <w:rPr>
          <w:rFonts w:eastAsia="Times New Roman" w:cstheme="minorHAnsi"/>
          <w:sz w:val="24"/>
          <w:szCs w:val="24"/>
        </w:rPr>
        <w:t>,</w:t>
      </w:r>
      <w:r w:rsidR="00473C01" w:rsidRPr="00473C01">
        <w:rPr>
          <w:rFonts w:eastAsia="Times New Roman" w:cstheme="minorHAnsi"/>
          <w:sz w:val="24"/>
          <w:szCs w:val="24"/>
        </w:rPr>
        <w:t xml:space="preserve"> θα έχει το αντίθετο αποτέλεσμα από αυτό για το οποίο σε γενικές γραμμές υιοθετήθηκε η συγκεκριμένη ρύθμιση.</w:t>
      </w:r>
      <w:r w:rsidR="00EE3DCA">
        <w:rPr>
          <w:rFonts w:eastAsia="Times New Roman" w:cstheme="minorHAnsi"/>
          <w:sz w:val="24"/>
          <w:szCs w:val="24"/>
        </w:rPr>
        <w:t xml:space="preserve"> </w:t>
      </w:r>
      <w:r w:rsidR="00473C01" w:rsidRPr="00473C01">
        <w:rPr>
          <w:rFonts w:eastAsia="Times New Roman" w:cstheme="minorHAnsi"/>
          <w:sz w:val="24"/>
          <w:szCs w:val="24"/>
        </w:rPr>
        <w:t>Από την άλλη μεριά, μόλις το 7,7% θεωρεί ότι θα μειωθεί η φοροδιαφυγή, ενώ το 5,1% θεωρεί ότι δεν θα επιφέρει καμία αλλαγή στη φορολογική συμπεριφορά των επιχειρήσεων.</w:t>
      </w:r>
    </w:p>
    <w:p w14:paraId="081CBF3C" w14:textId="77777777" w:rsidR="00473C01" w:rsidRDefault="00473C01" w:rsidP="00473C01">
      <w:pPr>
        <w:pStyle w:val="a3"/>
        <w:numPr>
          <w:ilvl w:val="1"/>
          <w:numId w:val="20"/>
        </w:numPr>
        <w:spacing w:after="0" w:line="360" w:lineRule="auto"/>
        <w:jc w:val="both"/>
        <w:rPr>
          <w:rFonts w:eastAsia="Times New Roman" w:cstheme="minorHAnsi"/>
          <w:sz w:val="24"/>
          <w:szCs w:val="24"/>
        </w:rPr>
      </w:pPr>
      <w:r w:rsidRPr="00473C01">
        <w:rPr>
          <w:rFonts w:eastAsia="Times New Roman" w:cstheme="minorHAnsi"/>
          <w:sz w:val="24"/>
          <w:szCs w:val="24"/>
        </w:rPr>
        <w:t>Το 17,2% θεωρεί ότι θα οδηγήσει σε αλλαγή της εταιρικής μορφής των επιχειρήσεων (από ατομικές σε εταιρείες).</w:t>
      </w:r>
    </w:p>
    <w:p w14:paraId="2953C520" w14:textId="51E12641" w:rsidR="00473C01" w:rsidRPr="00473C01" w:rsidRDefault="00473C01" w:rsidP="00473C01">
      <w:pPr>
        <w:pStyle w:val="a3"/>
        <w:numPr>
          <w:ilvl w:val="1"/>
          <w:numId w:val="20"/>
        </w:numPr>
        <w:spacing w:after="0" w:line="360" w:lineRule="auto"/>
        <w:jc w:val="both"/>
        <w:rPr>
          <w:rFonts w:eastAsia="Times New Roman" w:cstheme="minorHAnsi"/>
          <w:sz w:val="24"/>
          <w:szCs w:val="24"/>
        </w:rPr>
      </w:pPr>
      <w:r w:rsidRPr="00473C01">
        <w:rPr>
          <w:rFonts w:eastAsia="Times New Roman" w:cstheme="minorHAnsi"/>
          <w:sz w:val="24"/>
          <w:szCs w:val="24"/>
        </w:rPr>
        <w:t>Τέλος, μόλις το 3,9% θεώρει ότι η συγκεκριμένη ρύθμιση δεν θα έχει καμία αρνητική επίπτωση για τις επιχειρήσεις.</w:t>
      </w:r>
    </w:p>
    <w:p w14:paraId="5E336527" w14:textId="77777777" w:rsidR="00A01605" w:rsidRDefault="00A01605" w:rsidP="00700BFC">
      <w:pPr>
        <w:spacing w:after="0" w:line="360" w:lineRule="auto"/>
        <w:jc w:val="both"/>
        <w:rPr>
          <w:rFonts w:eastAsia="Times New Roman" w:cstheme="minorHAnsi"/>
          <w:b/>
          <w:color w:val="1F497D" w:themeColor="text2"/>
          <w:sz w:val="32"/>
          <w:szCs w:val="32"/>
          <w:u w:val="single"/>
        </w:rPr>
      </w:pPr>
    </w:p>
    <w:p w14:paraId="7A9A37AB" w14:textId="77777777" w:rsidR="00A01605" w:rsidRDefault="00A01605" w:rsidP="00700BFC">
      <w:pPr>
        <w:spacing w:after="0" w:line="360" w:lineRule="auto"/>
        <w:jc w:val="both"/>
        <w:rPr>
          <w:rFonts w:eastAsia="Times New Roman" w:cstheme="minorHAnsi"/>
          <w:b/>
          <w:color w:val="1F497D" w:themeColor="text2"/>
          <w:sz w:val="32"/>
          <w:szCs w:val="32"/>
          <w:u w:val="single"/>
        </w:rPr>
      </w:pPr>
    </w:p>
    <w:p w14:paraId="05B56BA2" w14:textId="09569542" w:rsidR="001B2706" w:rsidRPr="00A01605" w:rsidRDefault="00327B49" w:rsidP="00700BFC">
      <w:pPr>
        <w:spacing w:after="0" w:line="360" w:lineRule="auto"/>
        <w:jc w:val="both"/>
        <w:rPr>
          <w:rFonts w:eastAsia="Times New Roman" w:cstheme="minorHAnsi"/>
          <w:b/>
          <w:color w:val="1F497D" w:themeColor="text2"/>
          <w:sz w:val="32"/>
          <w:szCs w:val="32"/>
          <w:u w:val="single"/>
        </w:rPr>
      </w:pPr>
      <w:r w:rsidRPr="00B21D26">
        <w:rPr>
          <w:rFonts w:eastAsia="Times New Roman" w:cstheme="minorHAnsi"/>
          <w:b/>
          <w:color w:val="1F497D" w:themeColor="text2"/>
          <w:sz w:val="32"/>
          <w:szCs w:val="32"/>
          <w:u w:val="single"/>
        </w:rPr>
        <w:lastRenderedPageBreak/>
        <w:t xml:space="preserve">ΑΝΑΛΥΤΙΚΗ ΠΑΡΟΥΣΙΑΣΗ - ΑΠΟΤΕΛΕΣΜΑΤΑ ΕΡΕΥΝΑΣ </w:t>
      </w:r>
    </w:p>
    <w:p w14:paraId="1BEECEB1" w14:textId="77777777" w:rsidR="00853788" w:rsidRPr="00B21D26" w:rsidRDefault="00853788" w:rsidP="00700BFC">
      <w:pPr>
        <w:pStyle w:val="a3"/>
        <w:numPr>
          <w:ilvl w:val="0"/>
          <w:numId w:val="4"/>
        </w:numPr>
        <w:spacing w:after="0" w:line="360" w:lineRule="auto"/>
        <w:jc w:val="both"/>
        <w:rPr>
          <w:b/>
          <w:sz w:val="24"/>
          <w:szCs w:val="24"/>
          <w:u w:val="single"/>
        </w:rPr>
      </w:pPr>
      <w:r w:rsidRPr="00B21D26">
        <w:rPr>
          <w:b/>
          <w:sz w:val="24"/>
          <w:szCs w:val="24"/>
          <w:u w:val="single"/>
        </w:rPr>
        <w:t>Δείκτης Οικονομικού Κλίματος</w:t>
      </w:r>
    </w:p>
    <w:p w14:paraId="09DBEB85" w14:textId="6A88BE1F" w:rsidR="0052763F" w:rsidRDefault="0052763F" w:rsidP="0052763F">
      <w:pPr>
        <w:spacing w:after="0" w:line="360" w:lineRule="auto"/>
        <w:jc w:val="both"/>
        <w:rPr>
          <w:sz w:val="24"/>
          <w:szCs w:val="24"/>
        </w:rPr>
      </w:pPr>
      <w:r w:rsidRPr="00A124A2">
        <w:rPr>
          <w:sz w:val="24"/>
          <w:szCs w:val="24"/>
        </w:rPr>
        <w:t>Ο Δείκτης Οικονομικού Κλίματος των μικρών και πολύ μικρών επιχειρήσεων</w:t>
      </w:r>
      <w:r w:rsidR="00D64FDB" w:rsidRPr="00A124A2">
        <w:rPr>
          <w:sz w:val="24"/>
          <w:szCs w:val="24"/>
        </w:rPr>
        <w:t>,</w:t>
      </w:r>
      <w:r w:rsidRPr="00A124A2">
        <w:rPr>
          <w:sz w:val="24"/>
          <w:szCs w:val="24"/>
        </w:rPr>
        <w:t xml:space="preserve"> </w:t>
      </w:r>
      <w:r w:rsidR="00F137A0" w:rsidRPr="00A124A2">
        <w:rPr>
          <w:sz w:val="24"/>
          <w:szCs w:val="24"/>
        </w:rPr>
        <w:t xml:space="preserve">μετά τη σημαντική ενίσχυση που κατέγραψε </w:t>
      </w:r>
      <w:r w:rsidRPr="00A124A2">
        <w:rPr>
          <w:sz w:val="24"/>
          <w:szCs w:val="24"/>
        </w:rPr>
        <w:t xml:space="preserve">το δεύτερο εξάμηνο του 2022 </w:t>
      </w:r>
      <w:r w:rsidR="00A124A2" w:rsidRPr="00A124A2">
        <w:rPr>
          <w:sz w:val="24"/>
          <w:szCs w:val="24"/>
        </w:rPr>
        <w:t>(</w:t>
      </w:r>
      <w:r w:rsidRPr="00A124A2">
        <w:rPr>
          <w:sz w:val="24"/>
          <w:szCs w:val="24"/>
        </w:rPr>
        <w:t>69,5 μονάδες</w:t>
      </w:r>
      <w:r w:rsidR="00A124A2" w:rsidRPr="00A124A2">
        <w:rPr>
          <w:sz w:val="24"/>
          <w:szCs w:val="24"/>
        </w:rPr>
        <w:t>)</w:t>
      </w:r>
      <w:r w:rsidRPr="00A124A2">
        <w:rPr>
          <w:sz w:val="24"/>
          <w:szCs w:val="24"/>
        </w:rPr>
        <w:t xml:space="preserve"> </w:t>
      </w:r>
      <w:r w:rsidR="00A124A2" w:rsidRPr="00A124A2">
        <w:rPr>
          <w:sz w:val="24"/>
          <w:szCs w:val="24"/>
        </w:rPr>
        <w:t>και την ήπια</w:t>
      </w:r>
      <w:r w:rsidR="00054E96" w:rsidRPr="00A124A2">
        <w:rPr>
          <w:sz w:val="24"/>
          <w:szCs w:val="24"/>
        </w:rPr>
        <w:t xml:space="preserve"> </w:t>
      </w:r>
      <w:r w:rsidR="00A124A2" w:rsidRPr="00A124A2">
        <w:rPr>
          <w:sz w:val="24"/>
          <w:szCs w:val="24"/>
        </w:rPr>
        <w:t>υποχώρηση</w:t>
      </w:r>
      <w:r w:rsidR="00F137A0" w:rsidRPr="00A124A2">
        <w:rPr>
          <w:sz w:val="24"/>
          <w:szCs w:val="24"/>
        </w:rPr>
        <w:t xml:space="preserve"> </w:t>
      </w:r>
      <w:r w:rsidR="00A124A2" w:rsidRPr="00A124A2">
        <w:rPr>
          <w:sz w:val="24"/>
          <w:szCs w:val="24"/>
        </w:rPr>
        <w:t>το πρώτο εξάμηνο του 2023 (</w:t>
      </w:r>
      <w:r w:rsidR="00F137A0" w:rsidRPr="00A124A2">
        <w:rPr>
          <w:sz w:val="24"/>
          <w:szCs w:val="24"/>
        </w:rPr>
        <w:t>66,7 μονάδες</w:t>
      </w:r>
      <w:r w:rsidR="00A124A2" w:rsidRPr="00A124A2">
        <w:rPr>
          <w:sz w:val="24"/>
          <w:szCs w:val="24"/>
        </w:rPr>
        <w:t>), υποχώρησε σημαντικά το δεύτερο εξάμηνο του 2023 στις 63,9 μονάδες</w:t>
      </w:r>
      <w:r w:rsidRPr="00615EE1">
        <w:rPr>
          <w:sz w:val="24"/>
          <w:szCs w:val="24"/>
        </w:rPr>
        <w:t>.</w:t>
      </w:r>
      <w:r w:rsidR="00F137A0" w:rsidRPr="00615EE1">
        <w:rPr>
          <w:sz w:val="24"/>
          <w:szCs w:val="24"/>
        </w:rPr>
        <w:t xml:space="preserve"> Το στοιχείο αυτό σε συνδυασμό </w:t>
      </w:r>
      <w:r w:rsidR="002C623E" w:rsidRPr="00615EE1">
        <w:rPr>
          <w:sz w:val="24"/>
          <w:szCs w:val="24"/>
        </w:rPr>
        <w:t>με τα υπόλοιπα ευρήματα της έρευνας υποδηλώνει ότι η κατά</w:t>
      </w:r>
      <w:r w:rsidR="00615EE1" w:rsidRPr="00615EE1">
        <w:rPr>
          <w:sz w:val="24"/>
          <w:szCs w:val="24"/>
        </w:rPr>
        <w:t xml:space="preserve">σταση των επιχειρήσεων μετά τη </w:t>
      </w:r>
      <w:r w:rsidR="00593889">
        <w:rPr>
          <w:sz w:val="24"/>
          <w:szCs w:val="24"/>
        </w:rPr>
        <w:t>βελτίωση</w:t>
      </w:r>
      <w:r w:rsidR="00593889" w:rsidRPr="00615EE1">
        <w:rPr>
          <w:sz w:val="24"/>
          <w:szCs w:val="24"/>
        </w:rPr>
        <w:t xml:space="preserve"> </w:t>
      </w:r>
      <w:r w:rsidR="00615EE1" w:rsidRPr="00615EE1">
        <w:rPr>
          <w:sz w:val="24"/>
          <w:szCs w:val="24"/>
        </w:rPr>
        <w:t xml:space="preserve">και σταθεροποίηση που παρουσίασε, τείνει προς </w:t>
      </w:r>
      <w:r w:rsidR="00593889">
        <w:rPr>
          <w:sz w:val="24"/>
          <w:szCs w:val="24"/>
        </w:rPr>
        <w:t>επιδείνωση</w:t>
      </w:r>
      <w:r w:rsidR="00593889" w:rsidRPr="00615EE1">
        <w:rPr>
          <w:sz w:val="24"/>
          <w:szCs w:val="24"/>
        </w:rPr>
        <w:t xml:space="preserve"> </w:t>
      </w:r>
      <w:r w:rsidR="00615EE1" w:rsidRPr="00615EE1">
        <w:rPr>
          <w:sz w:val="24"/>
          <w:szCs w:val="24"/>
        </w:rPr>
        <w:t>μάλλον λόγω των αβεβαιοτήτων που συνεχίζουν να υφίστανται και οι οποίες τροφοδοτούνται τόσο από το ρευστό οικονομικό περιβάλλον, όσο και από εφαρμοζόμενες πολιτικές που εντείνουν την ανασφάλεια των επιχειρήσεων</w:t>
      </w:r>
      <w:r w:rsidR="00593889">
        <w:rPr>
          <w:sz w:val="24"/>
          <w:szCs w:val="24"/>
        </w:rPr>
        <w:t>,</w:t>
      </w:r>
      <w:r w:rsidR="00615EE1" w:rsidRPr="00615EE1">
        <w:rPr>
          <w:sz w:val="24"/>
          <w:szCs w:val="24"/>
        </w:rPr>
        <w:t xml:space="preserve"> </w:t>
      </w:r>
      <w:r w:rsidR="00593889">
        <w:rPr>
          <w:sz w:val="24"/>
          <w:szCs w:val="24"/>
        </w:rPr>
        <w:t>όπως,</w:t>
      </w:r>
      <w:r w:rsidR="00615EE1" w:rsidRPr="00615EE1">
        <w:rPr>
          <w:sz w:val="24"/>
          <w:szCs w:val="24"/>
        </w:rPr>
        <w:t xml:space="preserve"> για παράδειγμα</w:t>
      </w:r>
      <w:r w:rsidR="00593889">
        <w:rPr>
          <w:sz w:val="24"/>
          <w:szCs w:val="24"/>
        </w:rPr>
        <w:t>,</w:t>
      </w:r>
      <w:r w:rsidR="00615EE1" w:rsidRPr="00615EE1">
        <w:rPr>
          <w:sz w:val="24"/>
          <w:szCs w:val="24"/>
        </w:rPr>
        <w:t xml:space="preserve"> ο νέος τρόπος τεκμαρτής φορολόγησης των ατομικών επιχειρήσεων</w:t>
      </w:r>
      <w:r w:rsidR="00EE3DCA">
        <w:rPr>
          <w:sz w:val="24"/>
          <w:szCs w:val="24"/>
        </w:rPr>
        <w:t xml:space="preserve"> </w:t>
      </w:r>
      <w:r w:rsidR="002C623E" w:rsidRPr="00615EE1">
        <w:rPr>
          <w:sz w:val="24"/>
          <w:szCs w:val="24"/>
        </w:rPr>
        <w:t>(Γράφημα 1).</w:t>
      </w:r>
      <w:r w:rsidRPr="00615EE1">
        <w:rPr>
          <w:sz w:val="24"/>
          <w:szCs w:val="24"/>
        </w:rPr>
        <w:t xml:space="preserve"> </w:t>
      </w:r>
      <w:r w:rsidR="00CD22E7">
        <w:rPr>
          <w:sz w:val="24"/>
          <w:szCs w:val="24"/>
        </w:rPr>
        <w:t>Συμβαδίζει</w:t>
      </w:r>
      <w:r w:rsidR="00593889">
        <w:rPr>
          <w:sz w:val="24"/>
          <w:szCs w:val="24"/>
        </w:rPr>
        <w:t>,</w:t>
      </w:r>
      <w:r w:rsidR="00CD22E7">
        <w:rPr>
          <w:sz w:val="24"/>
          <w:szCs w:val="24"/>
        </w:rPr>
        <w:t xml:space="preserve"> </w:t>
      </w:r>
      <w:r w:rsidR="00593889">
        <w:rPr>
          <w:sz w:val="24"/>
          <w:szCs w:val="24"/>
        </w:rPr>
        <w:t>επίσης,</w:t>
      </w:r>
      <w:r w:rsidR="00CD22E7">
        <w:rPr>
          <w:sz w:val="24"/>
          <w:szCs w:val="24"/>
        </w:rPr>
        <w:t xml:space="preserve"> και με τα πρόσφατα στοιχεί</w:t>
      </w:r>
      <w:r w:rsidR="005A03DD">
        <w:rPr>
          <w:sz w:val="24"/>
          <w:szCs w:val="24"/>
        </w:rPr>
        <w:t xml:space="preserve">α για το </w:t>
      </w:r>
      <w:r w:rsidR="00CD22E7">
        <w:rPr>
          <w:sz w:val="24"/>
          <w:szCs w:val="24"/>
        </w:rPr>
        <w:t>ΑΕΠ</w:t>
      </w:r>
      <w:r w:rsidR="005A03DD">
        <w:rPr>
          <w:sz w:val="24"/>
          <w:szCs w:val="24"/>
        </w:rPr>
        <w:t>, όπου καταγράφηκε επιβράδυνση της ανάπτυξης το τέταρτο τρίμηνο του 2023, αλλά και μικρ</w:t>
      </w:r>
      <w:r w:rsidR="00917069">
        <w:rPr>
          <w:sz w:val="24"/>
          <w:szCs w:val="24"/>
        </w:rPr>
        <w:t>ότερη των</w:t>
      </w:r>
      <w:r w:rsidR="005A03DD">
        <w:rPr>
          <w:sz w:val="24"/>
          <w:szCs w:val="24"/>
        </w:rPr>
        <w:t xml:space="preserve"> εκτιμήσεων μεγέθυνση για όλο το έτος (2% έναντι 2,4%</w:t>
      </w:r>
      <w:r w:rsidR="00917069">
        <w:rPr>
          <w:sz w:val="24"/>
          <w:szCs w:val="24"/>
        </w:rPr>
        <w:t xml:space="preserve"> για</w:t>
      </w:r>
      <w:r w:rsidR="005A03DD">
        <w:rPr>
          <w:sz w:val="24"/>
          <w:szCs w:val="24"/>
        </w:rPr>
        <w:t xml:space="preserve"> το 2023).</w:t>
      </w:r>
      <w:r w:rsidR="00EE3DCA">
        <w:rPr>
          <w:sz w:val="24"/>
          <w:szCs w:val="24"/>
        </w:rPr>
        <w:t xml:space="preserve"> </w:t>
      </w:r>
      <w:r w:rsidR="00917069">
        <w:rPr>
          <w:sz w:val="24"/>
          <w:szCs w:val="24"/>
        </w:rPr>
        <w:t xml:space="preserve">Αυτό, επίσης, </w:t>
      </w:r>
      <w:r w:rsidR="00615EE1" w:rsidRPr="00615EE1">
        <w:rPr>
          <w:sz w:val="24"/>
          <w:szCs w:val="24"/>
        </w:rPr>
        <w:t xml:space="preserve">αποτυπώνεται και στον δείκτη προσδοκιών των </w:t>
      </w:r>
      <w:proofErr w:type="spellStart"/>
      <w:r w:rsidR="00615EE1" w:rsidRPr="00615EE1">
        <w:rPr>
          <w:sz w:val="24"/>
          <w:szCs w:val="24"/>
        </w:rPr>
        <w:t>ΜμΕ</w:t>
      </w:r>
      <w:proofErr w:type="spellEnd"/>
      <w:r w:rsidR="00593889">
        <w:rPr>
          <w:sz w:val="24"/>
          <w:szCs w:val="24"/>
        </w:rPr>
        <w:t>,</w:t>
      </w:r>
      <w:r w:rsidR="00615EE1" w:rsidRPr="00615EE1">
        <w:rPr>
          <w:sz w:val="24"/>
          <w:szCs w:val="24"/>
        </w:rPr>
        <w:t xml:space="preserve"> </w:t>
      </w:r>
      <w:r w:rsidR="00593889">
        <w:rPr>
          <w:sz w:val="24"/>
          <w:szCs w:val="24"/>
        </w:rPr>
        <w:t>ο οποίος,</w:t>
      </w:r>
      <w:r w:rsidR="00615EE1" w:rsidRPr="00615EE1">
        <w:rPr>
          <w:sz w:val="24"/>
          <w:szCs w:val="24"/>
        </w:rPr>
        <w:t xml:space="preserve"> μετά από 2 συνεχόμενα εξάμηνα ανόδου, υποχωρεί στις 63,9 μονάδες</w:t>
      </w:r>
      <w:r w:rsidR="00593889">
        <w:rPr>
          <w:sz w:val="24"/>
          <w:szCs w:val="24"/>
        </w:rPr>
        <w:t>,</w:t>
      </w:r>
      <w:r w:rsidR="00917069">
        <w:rPr>
          <w:sz w:val="24"/>
          <w:szCs w:val="24"/>
        </w:rPr>
        <w:t xml:space="preserve"> </w:t>
      </w:r>
      <w:r w:rsidR="00593889">
        <w:rPr>
          <w:sz w:val="24"/>
          <w:szCs w:val="24"/>
        </w:rPr>
        <w:t>το οποίο υποδεικνύει</w:t>
      </w:r>
      <w:r w:rsidR="00917069">
        <w:rPr>
          <w:sz w:val="24"/>
          <w:szCs w:val="24"/>
        </w:rPr>
        <w:t xml:space="preserve"> ότι οι επιχειρήσεις είναι λιγότερο αισιόδοξες για το μέλλον</w:t>
      </w:r>
      <w:r w:rsidR="00615EE1">
        <w:rPr>
          <w:sz w:val="24"/>
          <w:szCs w:val="24"/>
        </w:rPr>
        <w:t>.</w:t>
      </w:r>
    </w:p>
    <w:p w14:paraId="6D7A6854" w14:textId="14CAA6A5" w:rsidR="00A124A2" w:rsidRPr="00A124A2" w:rsidRDefault="0052763F" w:rsidP="0052763F">
      <w:pPr>
        <w:spacing w:after="0" w:line="360" w:lineRule="auto"/>
        <w:jc w:val="both"/>
        <w:rPr>
          <w:sz w:val="24"/>
          <w:szCs w:val="24"/>
        </w:rPr>
      </w:pPr>
      <w:r w:rsidRPr="0052763F">
        <w:rPr>
          <w:sz w:val="24"/>
          <w:szCs w:val="24"/>
        </w:rPr>
        <w:t xml:space="preserve">Σε ευρωπαϊκό επίπεδο, </w:t>
      </w:r>
      <w:r w:rsidR="002C623E">
        <w:rPr>
          <w:sz w:val="24"/>
          <w:szCs w:val="24"/>
        </w:rPr>
        <w:t xml:space="preserve">και με βάση τα στοιχεία που είναι διαθέσιμα </w:t>
      </w:r>
      <w:r w:rsidR="00615EE1">
        <w:rPr>
          <w:sz w:val="24"/>
          <w:szCs w:val="24"/>
        </w:rPr>
        <w:t>μέχρι και</w:t>
      </w:r>
      <w:r w:rsidR="002C623E">
        <w:rPr>
          <w:sz w:val="24"/>
          <w:szCs w:val="24"/>
        </w:rPr>
        <w:t xml:space="preserve"> το </w:t>
      </w:r>
      <w:r w:rsidR="00615EE1">
        <w:rPr>
          <w:sz w:val="24"/>
          <w:szCs w:val="24"/>
        </w:rPr>
        <w:t>πρώτο εξάμηνο του 2023</w:t>
      </w:r>
      <w:r w:rsidRPr="0052763F">
        <w:rPr>
          <w:sz w:val="24"/>
          <w:szCs w:val="24"/>
        </w:rPr>
        <w:t xml:space="preserve">, ο δείκτης οικονομικού κλίματος των ευρωπαϊκών </w:t>
      </w:r>
      <w:proofErr w:type="spellStart"/>
      <w:r w:rsidRPr="0052763F">
        <w:rPr>
          <w:sz w:val="24"/>
          <w:szCs w:val="24"/>
        </w:rPr>
        <w:t>ΜμΕ</w:t>
      </w:r>
      <w:proofErr w:type="spellEnd"/>
      <w:r w:rsidRPr="0052763F">
        <w:rPr>
          <w:sz w:val="24"/>
          <w:szCs w:val="24"/>
        </w:rPr>
        <w:t xml:space="preserve"> </w:t>
      </w:r>
      <w:r w:rsidR="00615EE1">
        <w:rPr>
          <w:sz w:val="24"/>
          <w:szCs w:val="24"/>
        </w:rPr>
        <w:t>μετά από</w:t>
      </w:r>
      <w:r w:rsidR="002C623E">
        <w:rPr>
          <w:sz w:val="24"/>
          <w:szCs w:val="24"/>
        </w:rPr>
        <w:t xml:space="preserve"> </w:t>
      </w:r>
      <w:r w:rsidR="00615EE1">
        <w:rPr>
          <w:sz w:val="24"/>
          <w:szCs w:val="24"/>
        </w:rPr>
        <w:t>τέσσερα</w:t>
      </w:r>
      <w:r w:rsidR="002C623E">
        <w:rPr>
          <w:sz w:val="24"/>
          <w:szCs w:val="24"/>
        </w:rPr>
        <w:t xml:space="preserve"> συνεχόμενα εξάμηνα</w:t>
      </w:r>
      <w:r w:rsidRPr="0052763F">
        <w:rPr>
          <w:sz w:val="24"/>
          <w:szCs w:val="24"/>
        </w:rPr>
        <w:t xml:space="preserve"> </w:t>
      </w:r>
      <w:r w:rsidR="00615EE1">
        <w:rPr>
          <w:sz w:val="24"/>
          <w:szCs w:val="24"/>
        </w:rPr>
        <w:t>υποχώρησης</w:t>
      </w:r>
      <w:r w:rsidR="00CB1149">
        <w:rPr>
          <w:sz w:val="24"/>
          <w:szCs w:val="24"/>
        </w:rPr>
        <w:t>,</w:t>
      </w:r>
      <w:r w:rsidR="00615EE1">
        <w:rPr>
          <w:sz w:val="24"/>
          <w:szCs w:val="24"/>
        </w:rPr>
        <w:t xml:space="preserve"> κατέγραψε άνοδο </w:t>
      </w:r>
      <w:r w:rsidR="00CB1149">
        <w:rPr>
          <w:sz w:val="24"/>
          <w:szCs w:val="24"/>
        </w:rPr>
        <w:t xml:space="preserve">στις </w:t>
      </w:r>
      <w:r w:rsidR="00615EE1">
        <w:rPr>
          <w:sz w:val="24"/>
          <w:szCs w:val="24"/>
        </w:rPr>
        <w:t>73,8</w:t>
      </w:r>
      <w:r w:rsidR="00CB1149">
        <w:rPr>
          <w:sz w:val="24"/>
          <w:szCs w:val="24"/>
        </w:rPr>
        <w:t xml:space="preserve"> μονάδες</w:t>
      </w:r>
      <w:r w:rsidR="002C623E">
        <w:rPr>
          <w:sz w:val="24"/>
          <w:szCs w:val="24"/>
        </w:rPr>
        <w:t xml:space="preserve">, </w:t>
      </w:r>
      <w:r w:rsidR="00615EE1">
        <w:rPr>
          <w:sz w:val="24"/>
          <w:szCs w:val="24"/>
        </w:rPr>
        <w:t>ακολουθώντας αντίθετη πορεία σε σύγκριση</w:t>
      </w:r>
      <w:r w:rsidR="002C623E">
        <w:rPr>
          <w:sz w:val="24"/>
          <w:szCs w:val="24"/>
        </w:rPr>
        <w:t xml:space="preserve"> με τον αντίστοιχο ελληνικό δείκτη</w:t>
      </w:r>
      <w:r w:rsidRPr="0052763F">
        <w:rPr>
          <w:sz w:val="24"/>
          <w:szCs w:val="24"/>
        </w:rPr>
        <w:t xml:space="preserve">. </w:t>
      </w:r>
      <w:r w:rsidR="004506BF">
        <w:rPr>
          <w:sz w:val="24"/>
          <w:szCs w:val="24"/>
        </w:rPr>
        <w:t xml:space="preserve">Αυτό υποδεικνύει ότι σε ευρωπαϊκό επίπεδο οι </w:t>
      </w:r>
      <w:proofErr w:type="spellStart"/>
      <w:r w:rsidR="004506BF">
        <w:rPr>
          <w:sz w:val="24"/>
          <w:szCs w:val="24"/>
        </w:rPr>
        <w:t>ΜμΕ</w:t>
      </w:r>
      <w:proofErr w:type="spellEnd"/>
      <w:r w:rsidR="004506BF">
        <w:rPr>
          <w:sz w:val="24"/>
          <w:szCs w:val="24"/>
        </w:rPr>
        <w:t xml:space="preserve"> δεν αναμένουν ύφεση, λόγω των επιπτώσεων των αλλεπάλληλων κρίσεων</w:t>
      </w:r>
      <w:r w:rsidR="00593889" w:rsidRPr="00BD5608">
        <w:rPr>
          <w:sz w:val="24"/>
          <w:szCs w:val="24"/>
        </w:rPr>
        <w:t>,</w:t>
      </w:r>
      <w:r w:rsidR="004506BF">
        <w:rPr>
          <w:sz w:val="24"/>
          <w:szCs w:val="24"/>
        </w:rPr>
        <w:t xml:space="preserve"> ενώ </w:t>
      </w:r>
      <w:r w:rsidR="00A124A2" w:rsidRPr="00CD22E7">
        <w:rPr>
          <w:sz w:val="24"/>
          <w:szCs w:val="24"/>
        </w:rPr>
        <w:t xml:space="preserve">μπορεί να είναι </w:t>
      </w:r>
      <w:r w:rsidR="004506BF" w:rsidRPr="00CD22E7">
        <w:rPr>
          <w:sz w:val="24"/>
          <w:szCs w:val="24"/>
        </w:rPr>
        <w:t xml:space="preserve">και </w:t>
      </w:r>
      <w:r w:rsidR="00A124A2" w:rsidRPr="00CD22E7">
        <w:rPr>
          <w:sz w:val="24"/>
          <w:szCs w:val="24"/>
        </w:rPr>
        <w:t xml:space="preserve">αποτέλεσμα μειωμένων εξαρτήσεων </w:t>
      </w:r>
      <w:r w:rsidR="004506BF" w:rsidRPr="00CD22E7">
        <w:rPr>
          <w:sz w:val="24"/>
          <w:szCs w:val="24"/>
        </w:rPr>
        <w:t>μέσα από τη διαφοροποίηση</w:t>
      </w:r>
      <w:r w:rsidR="00A124A2" w:rsidRPr="00CD22E7">
        <w:rPr>
          <w:sz w:val="24"/>
          <w:szCs w:val="24"/>
        </w:rPr>
        <w:t xml:space="preserve"> των προμηθευτών</w:t>
      </w:r>
      <w:r w:rsidR="004506BF" w:rsidRPr="00CD22E7">
        <w:rPr>
          <w:sz w:val="24"/>
          <w:szCs w:val="24"/>
        </w:rPr>
        <w:t>, της σχετικής ισορροπίας που έχει επιτευχθεί στο πεδίο της ενέργειας και</w:t>
      </w:r>
      <w:r w:rsidR="00593889" w:rsidRPr="00BD5608">
        <w:rPr>
          <w:sz w:val="24"/>
          <w:szCs w:val="24"/>
        </w:rPr>
        <w:t>,</w:t>
      </w:r>
      <w:r w:rsidR="004506BF" w:rsidRPr="00CD22E7">
        <w:rPr>
          <w:sz w:val="24"/>
          <w:szCs w:val="24"/>
        </w:rPr>
        <w:t xml:space="preserve"> φυσικά</w:t>
      </w:r>
      <w:r w:rsidR="00593889" w:rsidRPr="00BD5608">
        <w:rPr>
          <w:sz w:val="24"/>
          <w:szCs w:val="24"/>
        </w:rPr>
        <w:t>,</w:t>
      </w:r>
      <w:r w:rsidR="004506BF" w:rsidRPr="00CD22E7">
        <w:rPr>
          <w:sz w:val="24"/>
          <w:szCs w:val="24"/>
        </w:rPr>
        <w:t xml:space="preserve"> το</w:t>
      </w:r>
      <w:r w:rsidR="00593889">
        <w:rPr>
          <w:sz w:val="24"/>
          <w:szCs w:val="24"/>
        </w:rPr>
        <w:t>υ</w:t>
      </w:r>
      <w:r w:rsidR="004506BF" w:rsidRPr="00CD22E7">
        <w:rPr>
          <w:sz w:val="24"/>
          <w:szCs w:val="24"/>
        </w:rPr>
        <w:t xml:space="preserve"> </w:t>
      </w:r>
      <w:r w:rsidR="00593889" w:rsidRPr="00CD22E7">
        <w:rPr>
          <w:sz w:val="24"/>
          <w:szCs w:val="24"/>
        </w:rPr>
        <w:t>περιορισμ</w:t>
      </w:r>
      <w:r w:rsidR="00593889">
        <w:rPr>
          <w:sz w:val="24"/>
          <w:szCs w:val="24"/>
        </w:rPr>
        <w:t>ού</w:t>
      </w:r>
      <w:r w:rsidR="00593889" w:rsidRPr="00CD22E7">
        <w:rPr>
          <w:sz w:val="24"/>
          <w:szCs w:val="24"/>
        </w:rPr>
        <w:t xml:space="preserve"> </w:t>
      </w:r>
      <w:r w:rsidR="004506BF" w:rsidRPr="00CD22E7">
        <w:rPr>
          <w:sz w:val="24"/>
          <w:szCs w:val="24"/>
        </w:rPr>
        <w:t>του πληθωρισμού</w:t>
      </w:r>
      <w:r w:rsidR="00A124A2" w:rsidRPr="00CD22E7">
        <w:rPr>
          <w:sz w:val="24"/>
          <w:szCs w:val="24"/>
        </w:rPr>
        <w:t xml:space="preserve">. </w:t>
      </w:r>
      <w:r w:rsidR="004506BF" w:rsidRPr="00CD22E7">
        <w:rPr>
          <w:sz w:val="24"/>
          <w:szCs w:val="24"/>
        </w:rPr>
        <w:t>Ωστόσο</w:t>
      </w:r>
      <w:r w:rsidR="00A124A2" w:rsidRPr="00CD22E7">
        <w:rPr>
          <w:sz w:val="24"/>
          <w:szCs w:val="24"/>
        </w:rPr>
        <w:t xml:space="preserve">, υπάρχουν σημαντικές διαφορές μεταξύ των </w:t>
      </w:r>
      <w:proofErr w:type="spellStart"/>
      <w:r w:rsidR="004506BF" w:rsidRPr="00CD22E7">
        <w:rPr>
          <w:sz w:val="24"/>
          <w:szCs w:val="24"/>
        </w:rPr>
        <w:t>ΜμΕ</w:t>
      </w:r>
      <w:proofErr w:type="spellEnd"/>
      <w:r w:rsidR="004506BF" w:rsidRPr="00CD22E7">
        <w:rPr>
          <w:sz w:val="24"/>
          <w:szCs w:val="24"/>
        </w:rPr>
        <w:t xml:space="preserve"> των </w:t>
      </w:r>
      <w:r w:rsidR="00A124A2" w:rsidRPr="00CD22E7">
        <w:rPr>
          <w:sz w:val="24"/>
          <w:szCs w:val="24"/>
        </w:rPr>
        <w:t xml:space="preserve">κρατών μελών. </w:t>
      </w:r>
      <w:r w:rsidR="004506BF" w:rsidRPr="00CD22E7">
        <w:rPr>
          <w:sz w:val="24"/>
          <w:szCs w:val="24"/>
        </w:rPr>
        <w:t xml:space="preserve">Ειδικότερα, στις χώρες </w:t>
      </w:r>
      <w:r w:rsidR="00593889">
        <w:rPr>
          <w:sz w:val="24"/>
          <w:szCs w:val="24"/>
        </w:rPr>
        <w:t>ό</w:t>
      </w:r>
      <w:r w:rsidR="004506BF" w:rsidRPr="00CD22E7">
        <w:rPr>
          <w:sz w:val="24"/>
          <w:szCs w:val="24"/>
        </w:rPr>
        <w:t>που ο πληθωρισμός είναι άνω του μέσου όρου της Ε.Ε.</w:t>
      </w:r>
      <w:r w:rsidR="00593889">
        <w:rPr>
          <w:sz w:val="24"/>
          <w:szCs w:val="24"/>
        </w:rPr>
        <w:t>,</w:t>
      </w:r>
      <w:r w:rsidR="004506BF" w:rsidRPr="00CD22E7">
        <w:rPr>
          <w:sz w:val="24"/>
          <w:szCs w:val="24"/>
        </w:rPr>
        <w:t xml:space="preserve"> η </w:t>
      </w:r>
      <w:r w:rsidR="00E75681" w:rsidRPr="00CD22E7">
        <w:rPr>
          <w:sz w:val="24"/>
          <w:szCs w:val="24"/>
        </w:rPr>
        <w:t xml:space="preserve">πτωτική τάση που παρατηρείται </w:t>
      </w:r>
      <w:r w:rsidR="004506BF" w:rsidRPr="00CD22E7">
        <w:rPr>
          <w:sz w:val="24"/>
          <w:szCs w:val="24"/>
        </w:rPr>
        <w:t xml:space="preserve">σε γενικές γραμμές </w:t>
      </w:r>
      <w:r w:rsidR="00E75681" w:rsidRPr="00CD22E7">
        <w:rPr>
          <w:sz w:val="24"/>
          <w:szCs w:val="24"/>
        </w:rPr>
        <w:t>από την αρχή του πολέμου</w:t>
      </w:r>
      <w:r w:rsidR="004506BF" w:rsidRPr="00CD22E7">
        <w:rPr>
          <w:sz w:val="24"/>
          <w:szCs w:val="24"/>
        </w:rPr>
        <w:t xml:space="preserve"> στην Ουκρανία</w:t>
      </w:r>
      <w:r w:rsidR="00CD22E7" w:rsidRPr="00CD22E7">
        <w:rPr>
          <w:sz w:val="24"/>
          <w:szCs w:val="24"/>
        </w:rPr>
        <w:t xml:space="preserve"> στον δείκτη οικονομικού κλίματος</w:t>
      </w:r>
      <w:r w:rsidR="004506BF" w:rsidRPr="00CD22E7">
        <w:rPr>
          <w:sz w:val="24"/>
          <w:szCs w:val="24"/>
        </w:rPr>
        <w:t xml:space="preserve"> συνεχίζεται. Από την άλλη μεριά</w:t>
      </w:r>
      <w:r w:rsidR="00593889">
        <w:rPr>
          <w:sz w:val="24"/>
          <w:szCs w:val="24"/>
        </w:rPr>
        <w:t>,</w:t>
      </w:r>
      <w:r w:rsidR="004506BF" w:rsidRPr="00CD22E7">
        <w:rPr>
          <w:sz w:val="24"/>
          <w:szCs w:val="24"/>
        </w:rPr>
        <w:t xml:space="preserve"> στις χώρες όπου ο πληθωρισμός είναι κάτω του μέσου όρου της Ε.Ε.</w:t>
      </w:r>
      <w:r w:rsidR="00593889">
        <w:rPr>
          <w:sz w:val="24"/>
          <w:szCs w:val="24"/>
        </w:rPr>
        <w:t>,</w:t>
      </w:r>
      <w:r w:rsidR="00E75681" w:rsidRPr="00CD22E7">
        <w:rPr>
          <w:sz w:val="24"/>
          <w:szCs w:val="24"/>
        </w:rPr>
        <w:t xml:space="preserve"> </w:t>
      </w:r>
      <w:r w:rsidR="00CD22E7" w:rsidRPr="00CD22E7">
        <w:rPr>
          <w:sz w:val="24"/>
          <w:szCs w:val="24"/>
        </w:rPr>
        <w:t xml:space="preserve">ο δείκτης οικονομικού κλίματος των </w:t>
      </w:r>
      <w:proofErr w:type="spellStart"/>
      <w:r w:rsidR="00CD22E7" w:rsidRPr="00CD22E7">
        <w:rPr>
          <w:sz w:val="24"/>
          <w:szCs w:val="24"/>
        </w:rPr>
        <w:t>ΜμΕ</w:t>
      </w:r>
      <w:proofErr w:type="spellEnd"/>
      <w:r w:rsidR="00CD22E7" w:rsidRPr="00CD22E7">
        <w:rPr>
          <w:sz w:val="24"/>
          <w:szCs w:val="24"/>
        </w:rPr>
        <w:t xml:space="preserve"> κινείται σε γενικές γραμμές ανοδικά.</w:t>
      </w:r>
      <w:r w:rsidR="00EE3DCA">
        <w:rPr>
          <w:sz w:val="24"/>
          <w:szCs w:val="24"/>
        </w:rPr>
        <w:t xml:space="preserve"> </w:t>
      </w:r>
    </w:p>
    <w:p w14:paraId="0C01629E" w14:textId="50C71B72" w:rsidR="00A124A2" w:rsidRPr="00A124A2" w:rsidRDefault="00A124A2" w:rsidP="0052763F">
      <w:pPr>
        <w:spacing w:after="0" w:line="360" w:lineRule="auto"/>
        <w:jc w:val="both"/>
        <w:rPr>
          <w:sz w:val="24"/>
          <w:szCs w:val="24"/>
        </w:rPr>
      </w:pPr>
    </w:p>
    <w:p w14:paraId="670D9D70" w14:textId="1B195303" w:rsidR="00853788" w:rsidRPr="00413CE5" w:rsidRDefault="008C7A5B" w:rsidP="00700BFC">
      <w:pPr>
        <w:spacing w:line="360" w:lineRule="auto"/>
        <w:jc w:val="both"/>
        <w:rPr>
          <w:lang w:val="en-US"/>
        </w:rPr>
      </w:pPr>
      <w:r>
        <w:rPr>
          <w:noProof/>
        </w:rPr>
        <w:lastRenderedPageBreak/>
        <w:drawing>
          <wp:inline distT="0" distB="0" distL="0" distR="0" wp14:anchorId="35924A45" wp14:editId="42517E26">
            <wp:extent cx="6488264" cy="2910178"/>
            <wp:effectExtent l="0" t="0" r="27305" b="2413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CBB89A" w14:textId="053AFD5A" w:rsidR="00413CE5" w:rsidRPr="00875D88" w:rsidRDefault="000A5F7A" w:rsidP="00700BFC">
      <w:pPr>
        <w:spacing w:line="360" w:lineRule="auto"/>
        <w:jc w:val="both"/>
      </w:pPr>
      <w:r>
        <w:rPr>
          <w:noProof/>
        </w:rPr>
        <w:drawing>
          <wp:inline distT="0" distB="0" distL="0" distR="0" wp14:anchorId="1AD04878" wp14:editId="3A0F21BD">
            <wp:extent cx="6528021" cy="2910177"/>
            <wp:effectExtent l="0" t="0" r="25400" b="24130"/>
            <wp:docPr id="2"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759A53" w14:textId="77777777" w:rsidR="00F83283" w:rsidRDefault="00A774AE" w:rsidP="00700BFC">
      <w:pPr>
        <w:pStyle w:val="a3"/>
        <w:numPr>
          <w:ilvl w:val="0"/>
          <w:numId w:val="4"/>
        </w:numPr>
        <w:spacing w:after="0" w:line="360" w:lineRule="auto"/>
        <w:rPr>
          <w:b/>
          <w:sz w:val="24"/>
          <w:szCs w:val="24"/>
          <w:u w:val="single"/>
        </w:rPr>
      </w:pPr>
      <w:bookmarkStart w:id="0" w:name="_Toc104456946"/>
      <w:r w:rsidRPr="006F0645">
        <w:rPr>
          <w:b/>
          <w:sz w:val="24"/>
          <w:szCs w:val="24"/>
          <w:u w:val="single"/>
        </w:rPr>
        <w:t>Κύκλος εργασιών</w:t>
      </w:r>
      <w:bookmarkEnd w:id="0"/>
    </w:p>
    <w:p w14:paraId="29795BD1" w14:textId="7BC81146"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 xml:space="preserve">Τα ευρήματα σχετικά με τον κύκλο εργασιών </w:t>
      </w:r>
      <w:r w:rsidR="005549E1">
        <w:rPr>
          <w:rFonts w:ascii="Calibri" w:eastAsia="Calibri" w:hAnsi="Calibri" w:cs="Times New Roman"/>
          <w:sz w:val="24"/>
          <w:szCs w:val="24"/>
          <w:lang w:eastAsia="en-US"/>
        </w:rPr>
        <w:t xml:space="preserve">κατά </w:t>
      </w:r>
      <w:r w:rsidRPr="00C70C53">
        <w:rPr>
          <w:rFonts w:ascii="Calibri" w:eastAsia="Calibri" w:hAnsi="Calibri" w:cs="Times New Roman"/>
          <w:sz w:val="24"/>
          <w:szCs w:val="24"/>
          <w:lang w:eastAsia="en-US"/>
        </w:rPr>
        <w:t xml:space="preserve">το δεύτερο εξάμηνο του 2023 </w:t>
      </w:r>
      <w:r w:rsidRPr="003B5CAF">
        <w:rPr>
          <w:rFonts w:ascii="Calibri" w:eastAsia="Calibri" w:hAnsi="Calibri" w:cs="Times New Roman"/>
          <w:sz w:val="24"/>
          <w:szCs w:val="24"/>
          <w:lang w:eastAsia="en-US"/>
        </w:rPr>
        <w:t>ακολουθούν εκείνα του δείκτη οικονομικού κλίματος. Παρουσιάζουν μια ήπια επιδείνωση στον κύκλο εργασιών των μικρών και πολύ μικρών επιχειρήσεων σε σύγκριση τόσο με το πρώτο εξάμηνο του 2023</w:t>
      </w:r>
      <w:r w:rsidR="005549E1">
        <w:rPr>
          <w:rFonts w:ascii="Calibri" w:eastAsia="Calibri" w:hAnsi="Calibri" w:cs="Times New Roman"/>
          <w:sz w:val="24"/>
          <w:szCs w:val="24"/>
          <w:lang w:eastAsia="en-US"/>
        </w:rPr>
        <w:t>,</w:t>
      </w:r>
      <w:r w:rsidRPr="003B5CAF">
        <w:rPr>
          <w:rFonts w:ascii="Calibri" w:eastAsia="Calibri" w:hAnsi="Calibri" w:cs="Times New Roman"/>
          <w:sz w:val="24"/>
          <w:szCs w:val="24"/>
          <w:lang w:eastAsia="en-US"/>
        </w:rPr>
        <w:t xml:space="preserve"> όσο και με το αντίστοιχο εξάμηνο του 2022. Συγκεκριμένα, για το δεύτερο εξάμηνο του 2023</w:t>
      </w:r>
      <w:r w:rsidRPr="00C70C53">
        <w:rPr>
          <w:rFonts w:ascii="Calibri" w:eastAsia="Calibri" w:hAnsi="Calibri" w:cs="Times New Roman"/>
          <w:sz w:val="24"/>
          <w:szCs w:val="24"/>
          <w:lang w:eastAsia="en-US"/>
        </w:rPr>
        <w:t xml:space="preserve"> το ποσοστό των επιχειρήσεων που </w:t>
      </w:r>
      <w:r w:rsidR="005549E1" w:rsidRPr="00C70C53">
        <w:rPr>
          <w:rFonts w:ascii="Calibri" w:eastAsia="Calibri" w:hAnsi="Calibri" w:cs="Times New Roman"/>
          <w:sz w:val="24"/>
          <w:szCs w:val="24"/>
          <w:lang w:eastAsia="en-US"/>
        </w:rPr>
        <w:t>δήλωσ</w:t>
      </w:r>
      <w:r w:rsidR="005549E1">
        <w:rPr>
          <w:rFonts w:ascii="Calibri" w:eastAsia="Calibri" w:hAnsi="Calibri" w:cs="Times New Roman"/>
          <w:sz w:val="24"/>
          <w:szCs w:val="24"/>
          <w:lang w:eastAsia="en-US"/>
        </w:rPr>
        <w:t>ε</w:t>
      </w:r>
      <w:r w:rsidR="005549E1" w:rsidRPr="00C70C53">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 xml:space="preserve">ότι </w:t>
      </w:r>
      <w:r w:rsidR="005549E1" w:rsidRPr="00C70C53">
        <w:rPr>
          <w:rFonts w:ascii="Calibri" w:eastAsia="Calibri" w:hAnsi="Calibri" w:cs="Times New Roman"/>
          <w:sz w:val="24"/>
          <w:szCs w:val="24"/>
          <w:lang w:eastAsia="en-US"/>
        </w:rPr>
        <w:t>είχ</w:t>
      </w:r>
      <w:r w:rsidR="005549E1">
        <w:rPr>
          <w:rFonts w:ascii="Calibri" w:eastAsia="Calibri" w:hAnsi="Calibri" w:cs="Times New Roman"/>
          <w:sz w:val="24"/>
          <w:szCs w:val="24"/>
          <w:lang w:eastAsia="en-US"/>
        </w:rPr>
        <w:t xml:space="preserve">ε </w:t>
      </w:r>
      <w:r w:rsidRPr="00C70C53">
        <w:rPr>
          <w:rFonts w:ascii="Calibri" w:eastAsia="Calibri" w:hAnsi="Calibri" w:cs="Times New Roman"/>
          <w:sz w:val="24"/>
          <w:szCs w:val="24"/>
          <w:lang w:eastAsia="en-US"/>
        </w:rPr>
        <w:t>αύξηση κύκλου εργασιών ανήλθε στο 29,1</w:t>
      </w:r>
      <w:r w:rsidRPr="003B5CAF">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ενώ οι επιχειρήσεις που δήλωσαν μείωση του κύκλου εργασιών αντιστοιχούσαν στο 34,2%. Το 34,6% δήλωσε ότι ο κύκλος εργασιών παρέμεινε ίδιος. </w:t>
      </w:r>
    </w:p>
    <w:p w14:paraId="2FC424BD" w14:textId="6025308C" w:rsidR="00C70C53" w:rsidRPr="00C70C53" w:rsidRDefault="003B5CAF" w:rsidP="00C70C53">
      <w:pPr>
        <w:spacing w:after="160" w:line="259" w:lineRule="auto"/>
        <w:rPr>
          <w:rFonts w:ascii="Calibri" w:eastAsia="Calibri" w:hAnsi="Calibri" w:cs="Times New Roman"/>
          <w:lang w:eastAsia="en-US"/>
        </w:rPr>
      </w:pPr>
      <w:r>
        <w:rPr>
          <w:noProof/>
        </w:rPr>
        <w:lastRenderedPageBreak/>
        <w:drawing>
          <wp:inline distT="0" distB="0" distL="0" distR="0" wp14:anchorId="0DC45629" wp14:editId="1703BB74">
            <wp:extent cx="6710901" cy="3267986"/>
            <wp:effectExtent l="0" t="0" r="13970" b="27940"/>
            <wp:docPr id="19" name="Γράφημα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A7C8E9" w14:textId="76894EC4"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Με βάση τα στοιχεία της ΕΛΣΤΑΤ</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vertAlign w:val="superscript"/>
          <w:lang w:eastAsia="en-US"/>
        </w:rPr>
        <w:footnoteReference w:id="2"/>
      </w:r>
      <w:r w:rsidRPr="00C70C53">
        <w:rPr>
          <w:rFonts w:ascii="Calibri" w:eastAsia="Calibri" w:hAnsi="Calibri" w:cs="Times New Roman"/>
          <w:sz w:val="24"/>
          <w:szCs w:val="24"/>
          <w:lang w:eastAsia="en-US"/>
        </w:rPr>
        <w:t xml:space="preserve"> ο κύκλος εργασιών του συνόλου των ελληνικών επιχειρήσεων το δεύτερο εξάμηνο του 2023 ανήλθε στα 239,34 </w:t>
      </w:r>
      <w:r w:rsidR="005549E1" w:rsidRPr="00C70C53">
        <w:rPr>
          <w:rFonts w:ascii="Calibri" w:eastAsia="Calibri" w:hAnsi="Calibri" w:cs="Times New Roman"/>
          <w:sz w:val="24"/>
          <w:szCs w:val="24"/>
          <w:lang w:eastAsia="en-US"/>
        </w:rPr>
        <w:t>δι</w:t>
      </w:r>
      <w:r w:rsidR="005549E1">
        <w:rPr>
          <w:rFonts w:ascii="Calibri" w:eastAsia="Calibri" w:hAnsi="Calibri" w:cs="Times New Roman"/>
          <w:sz w:val="24"/>
          <w:szCs w:val="24"/>
          <w:lang w:eastAsia="en-US"/>
        </w:rPr>
        <w:t>σ.</w:t>
      </w:r>
      <w:r w:rsidR="005549E1" w:rsidRPr="00C70C53">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αυξημένος κατά 15% σε σχέση με το πρώτο εξάμηνο του 2023 και μειωμένος κατά 7,3% σε σχέση με το δεύτερο εξάμηνο του 2022. Σε ετήσια βάση ο κύκλος εργασιών μειώθηκε κατά 2,9% ή 13,493 </w:t>
      </w:r>
      <w:r w:rsidR="005549E1" w:rsidRPr="00C70C53">
        <w:rPr>
          <w:rFonts w:ascii="Calibri" w:eastAsia="Calibri" w:hAnsi="Calibri" w:cs="Times New Roman"/>
          <w:sz w:val="24"/>
          <w:szCs w:val="24"/>
          <w:lang w:eastAsia="en-US"/>
        </w:rPr>
        <w:t>δι</w:t>
      </w:r>
      <w:r w:rsidR="005549E1">
        <w:rPr>
          <w:rFonts w:ascii="Calibri" w:eastAsia="Calibri" w:hAnsi="Calibri" w:cs="Times New Roman"/>
          <w:sz w:val="24"/>
          <w:szCs w:val="24"/>
          <w:lang w:eastAsia="en-US"/>
        </w:rPr>
        <w:t>σ.</w:t>
      </w:r>
      <w:r w:rsidR="005549E1" w:rsidRPr="00C70C53">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 με τη</w:t>
      </w:r>
      <w:r w:rsidR="005549E1">
        <w:rPr>
          <w:rFonts w:ascii="Calibri" w:eastAsia="Calibri" w:hAnsi="Calibri" w:cs="Times New Roman"/>
          <w:sz w:val="24"/>
          <w:szCs w:val="24"/>
          <w:lang w:eastAsia="en-US"/>
        </w:rPr>
        <w:t>ν</w:t>
      </w:r>
      <w:r w:rsidRPr="00C70C53">
        <w:rPr>
          <w:rFonts w:ascii="Calibri" w:eastAsia="Calibri" w:hAnsi="Calibri" w:cs="Times New Roman"/>
          <w:sz w:val="24"/>
          <w:szCs w:val="24"/>
          <w:lang w:eastAsia="en-US"/>
        </w:rPr>
        <w:t xml:space="preserve"> πτώση να οφείλεται κυρίως στον τομέα </w:t>
      </w:r>
      <w:r w:rsidR="005549E1">
        <w:rPr>
          <w:rFonts w:ascii="Calibri" w:eastAsia="Calibri" w:hAnsi="Calibri" w:cs="Times New Roman"/>
          <w:sz w:val="24"/>
          <w:szCs w:val="24"/>
          <w:lang w:eastAsia="en-US"/>
        </w:rPr>
        <w:t xml:space="preserve">της </w:t>
      </w:r>
      <w:r w:rsidRPr="00C70C53">
        <w:rPr>
          <w:rFonts w:ascii="Calibri" w:eastAsia="Calibri" w:hAnsi="Calibri" w:cs="Times New Roman"/>
          <w:sz w:val="24"/>
          <w:szCs w:val="24"/>
          <w:lang w:eastAsia="en-US"/>
        </w:rPr>
        <w:t>Παροχή</w:t>
      </w:r>
      <w:r w:rsidR="005549E1">
        <w:rPr>
          <w:rFonts w:ascii="Calibri" w:eastAsia="Calibri" w:hAnsi="Calibri" w:cs="Times New Roman"/>
          <w:sz w:val="24"/>
          <w:szCs w:val="24"/>
          <w:lang w:eastAsia="en-US"/>
        </w:rPr>
        <w:t>ς</w:t>
      </w:r>
      <w:r w:rsidRPr="00C70C53">
        <w:rPr>
          <w:rFonts w:ascii="Calibri" w:eastAsia="Calibri" w:hAnsi="Calibri" w:cs="Times New Roman"/>
          <w:sz w:val="24"/>
          <w:szCs w:val="24"/>
          <w:lang w:eastAsia="en-US"/>
        </w:rPr>
        <w:t xml:space="preserve"> Ηλεκτρικού Ρεύματος, Φυσικού Αερίου, Ατμού και Κλιματισμού (-45,2%) και στον τομέα της Μεταποίησης (-8,5%), ενώ τη μεγαλύτερη άνοδο παρουσίασαν οι επιχειρήσεις του </w:t>
      </w:r>
      <w:r w:rsidRPr="003B5CAF">
        <w:rPr>
          <w:rFonts w:ascii="Calibri" w:eastAsia="Calibri" w:hAnsi="Calibri" w:cs="Times New Roman"/>
          <w:sz w:val="24"/>
          <w:szCs w:val="24"/>
          <w:lang w:eastAsia="en-US"/>
        </w:rPr>
        <w:t>κλάδου της</w:t>
      </w:r>
      <w:r w:rsidRPr="00C70C53">
        <w:rPr>
          <w:rFonts w:ascii="Calibri" w:eastAsia="Calibri" w:hAnsi="Calibri" w:cs="Times New Roman"/>
          <w:sz w:val="24"/>
          <w:szCs w:val="24"/>
          <w:lang w:eastAsia="en-US"/>
        </w:rPr>
        <w:t xml:space="preserve"> Εκπαίδευση</w:t>
      </w:r>
      <w:r w:rsidRPr="003B5CAF">
        <w:rPr>
          <w:rFonts w:ascii="Calibri" w:eastAsia="Calibri" w:hAnsi="Calibri" w:cs="Times New Roman"/>
          <w:sz w:val="24"/>
          <w:szCs w:val="24"/>
          <w:lang w:eastAsia="en-US"/>
        </w:rPr>
        <w:t>ς</w:t>
      </w:r>
      <w:r w:rsidRPr="00C70C53">
        <w:rPr>
          <w:rFonts w:ascii="Calibri" w:eastAsia="Calibri" w:hAnsi="Calibri" w:cs="Times New Roman"/>
          <w:sz w:val="24"/>
          <w:szCs w:val="24"/>
          <w:lang w:eastAsia="en-US"/>
        </w:rPr>
        <w:t xml:space="preserve"> (23,5%) και </w:t>
      </w:r>
      <w:r w:rsidRPr="003B5CAF">
        <w:rPr>
          <w:rFonts w:ascii="Calibri" w:eastAsia="Calibri" w:hAnsi="Calibri" w:cs="Times New Roman"/>
          <w:sz w:val="24"/>
          <w:szCs w:val="24"/>
          <w:lang w:eastAsia="en-US"/>
        </w:rPr>
        <w:t xml:space="preserve">των </w:t>
      </w:r>
      <w:r w:rsidRPr="00C70C53">
        <w:rPr>
          <w:rFonts w:ascii="Calibri" w:eastAsia="Calibri" w:hAnsi="Calibri" w:cs="Times New Roman"/>
          <w:sz w:val="24"/>
          <w:szCs w:val="24"/>
          <w:lang w:eastAsia="en-US"/>
        </w:rPr>
        <w:t xml:space="preserve">Κατασκευών (16,7%). Η αποκλιμάκωση της έντασης του πληθωρισμού λόγω της μείωσης του ενεργειακού κόστους αντισταθμίζεται από τις μεγάλες αυξήσεις στο σύνολο </w:t>
      </w:r>
      <w:r w:rsidR="005549E1" w:rsidRPr="00C70C53">
        <w:rPr>
          <w:rFonts w:ascii="Calibri" w:eastAsia="Calibri" w:hAnsi="Calibri" w:cs="Times New Roman"/>
          <w:sz w:val="24"/>
          <w:szCs w:val="24"/>
          <w:lang w:eastAsia="en-US"/>
        </w:rPr>
        <w:t xml:space="preserve">σχεδόν </w:t>
      </w:r>
      <w:r w:rsidRPr="00C70C53">
        <w:rPr>
          <w:rFonts w:ascii="Calibri" w:eastAsia="Calibri" w:hAnsi="Calibri" w:cs="Times New Roman"/>
          <w:sz w:val="24"/>
          <w:szCs w:val="24"/>
          <w:lang w:eastAsia="en-US"/>
        </w:rPr>
        <w:t>των καταναλωτικών αγαθών και υπηρεσιών</w:t>
      </w:r>
      <w:r w:rsidRPr="003B5CAF">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w:t>
      </w:r>
    </w:p>
    <w:p w14:paraId="68D365D0" w14:textId="6649E52A"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 xml:space="preserve">Από τα επιμέρους στοιχεία της έρευνας σχετικά με τον κύκλο εργασιών προκύπτει ότι η εικόνα είναι καλύτερη για </w:t>
      </w:r>
      <w:r w:rsidRPr="003B5CAF">
        <w:rPr>
          <w:rFonts w:ascii="Calibri" w:eastAsia="Calibri" w:hAnsi="Calibri" w:cs="Times New Roman"/>
          <w:sz w:val="24"/>
          <w:szCs w:val="24"/>
          <w:lang w:eastAsia="en-US"/>
        </w:rPr>
        <w:t>τις επιχειρήσεις στον τομέα των υπηρεσιών</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με το 33,4% να </w:t>
      </w:r>
      <w:r w:rsidRPr="003B5CAF">
        <w:rPr>
          <w:rFonts w:ascii="Calibri" w:eastAsia="Calibri" w:hAnsi="Calibri" w:cs="Times New Roman"/>
          <w:sz w:val="24"/>
          <w:szCs w:val="24"/>
          <w:lang w:eastAsia="en-US"/>
        </w:rPr>
        <w:t>δηλώνει</w:t>
      </w:r>
      <w:r w:rsidRPr="00C70C53">
        <w:rPr>
          <w:rFonts w:ascii="Calibri" w:eastAsia="Calibri" w:hAnsi="Calibri" w:cs="Times New Roman"/>
          <w:sz w:val="24"/>
          <w:szCs w:val="24"/>
          <w:lang w:eastAsia="en-US"/>
        </w:rPr>
        <w:t xml:space="preserve"> αύξηση του κύκλου ερ</w:t>
      </w:r>
      <w:r w:rsidRPr="003B5CAF">
        <w:rPr>
          <w:rFonts w:ascii="Calibri" w:eastAsia="Calibri" w:hAnsi="Calibri" w:cs="Times New Roman"/>
          <w:sz w:val="24"/>
          <w:szCs w:val="24"/>
          <w:lang w:eastAsia="en-US"/>
        </w:rPr>
        <w:t>γασιών έναντι 30,3% που δήλωσε</w:t>
      </w:r>
      <w:r w:rsidRPr="00C70C53">
        <w:rPr>
          <w:rFonts w:ascii="Calibri" w:eastAsia="Calibri" w:hAnsi="Calibri" w:cs="Times New Roman"/>
          <w:sz w:val="24"/>
          <w:szCs w:val="24"/>
          <w:lang w:eastAsia="en-US"/>
        </w:rPr>
        <w:t xml:space="preserve"> μείωση.</w:t>
      </w:r>
      <w:r w:rsidRPr="003B5CAF">
        <w:rPr>
          <w:rFonts w:ascii="Calibri" w:eastAsia="Calibri" w:hAnsi="Calibri" w:cs="Times New Roman"/>
          <w:sz w:val="24"/>
          <w:szCs w:val="24"/>
          <w:lang w:eastAsia="en-US"/>
        </w:rPr>
        <w:t xml:space="preserve"> Από την άλλη μεριά</w:t>
      </w:r>
      <w:r w:rsidR="005549E1">
        <w:rPr>
          <w:rFonts w:ascii="Calibri" w:eastAsia="Calibri" w:hAnsi="Calibri" w:cs="Times New Roman"/>
          <w:sz w:val="24"/>
          <w:szCs w:val="24"/>
          <w:lang w:eastAsia="en-US"/>
        </w:rPr>
        <w:t>,</w:t>
      </w:r>
      <w:r w:rsidRPr="003B5CAF">
        <w:rPr>
          <w:rFonts w:ascii="Calibri" w:eastAsia="Calibri" w:hAnsi="Calibri" w:cs="Times New Roman"/>
          <w:sz w:val="24"/>
          <w:szCs w:val="24"/>
          <w:lang w:eastAsia="en-US"/>
        </w:rPr>
        <w:t xml:space="preserve"> α</w:t>
      </w:r>
      <w:r w:rsidRPr="00C70C53">
        <w:rPr>
          <w:rFonts w:ascii="Calibri" w:eastAsia="Calibri" w:hAnsi="Calibri" w:cs="Times New Roman"/>
          <w:sz w:val="24"/>
          <w:szCs w:val="24"/>
          <w:lang w:eastAsia="en-US"/>
        </w:rPr>
        <w:t>ρνητικό είναι το πρόσημο για τις επιχειρήσεις</w:t>
      </w:r>
      <w:r w:rsidRPr="003B5CAF">
        <w:rPr>
          <w:rFonts w:ascii="Calibri" w:eastAsia="Calibri" w:hAnsi="Calibri" w:cs="Times New Roman"/>
          <w:sz w:val="24"/>
          <w:szCs w:val="24"/>
          <w:lang w:eastAsia="en-US"/>
        </w:rPr>
        <w:t xml:space="preserve"> στον τομέα</w:t>
      </w:r>
      <w:r w:rsidRPr="00C70C53">
        <w:rPr>
          <w:rFonts w:ascii="Calibri" w:eastAsia="Calibri" w:hAnsi="Calibri" w:cs="Times New Roman"/>
          <w:sz w:val="24"/>
          <w:szCs w:val="24"/>
          <w:lang w:eastAsia="en-US"/>
        </w:rPr>
        <w:t xml:space="preserve"> μεταποίησης</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βιοτεχνίας αλλά και </w:t>
      </w:r>
      <w:r w:rsidRPr="003B5CAF">
        <w:rPr>
          <w:rFonts w:ascii="Calibri" w:eastAsia="Calibri" w:hAnsi="Calibri" w:cs="Times New Roman"/>
          <w:sz w:val="24"/>
          <w:szCs w:val="24"/>
          <w:lang w:eastAsia="en-US"/>
        </w:rPr>
        <w:t>σ</w:t>
      </w:r>
      <w:r w:rsidRPr="00C70C53">
        <w:rPr>
          <w:rFonts w:ascii="Calibri" w:eastAsia="Calibri" w:hAnsi="Calibri" w:cs="Times New Roman"/>
          <w:sz w:val="24"/>
          <w:szCs w:val="24"/>
          <w:lang w:eastAsia="en-US"/>
        </w:rPr>
        <w:t xml:space="preserve">το εμπόριο, καθώς αύξηση του κύκλου εργασιών εμφανίζει το 28,1% και </w:t>
      </w:r>
      <w:r w:rsidR="005549E1">
        <w:rPr>
          <w:rFonts w:ascii="Calibri" w:eastAsia="Calibri" w:hAnsi="Calibri" w:cs="Times New Roman"/>
          <w:sz w:val="24"/>
          <w:szCs w:val="24"/>
          <w:lang w:eastAsia="en-US"/>
        </w:rPr>
        <w:t xml:space="preserve">το </w:t>
      </w:r>
      <w:r w:rsidRPr="00C70C53">
        <w:rPr>
          <w:rFonts w:ascii="Calibri" w:eastAsia="Calibri" w:hAnsi="Calibri" w:cs="Times New Roman"/>
          <w:sz w:val="24"/>
          <w:szCs w:val="24"/>
          <w:lang w:eastAsia="en-US"/>
        </w:rPr>
        <w:t>25,2% αντίστοιχα</w:t>
      </w:r>
      <w:r w:rsidRPr="003B5CAF">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ενώ μείωση του κύκλου εργασιών παρουσιάζει το 30,8% και το 40,4% αντίστοιχα. Η μείωση του </w:t>
      </w:r>
      <w:r w:rsidR="0011287B" w:rsidRPr="003B5CAF">
        <w:rPr>
          <w:rFonts w:ascii="Calibri" w:eastAsia="Calibri" w:hAnsi="Calibri" w:cs="Times New Roman"/>
          <w:sz w:val="24"/>
          <w:szCs w:val="24"/>
          <w:lang w:eastAsia="en-US"/>
        </w:rPr>
        <w:t>κύκλου εργασιών</w:t>
      </w:r>
      <w:r w:rsidRPr="00C70C53">
        <w:rPr>
          <w:rFonts w:ascii="Calibri" w:eastAsia="Calibri" w:hAnsi="Calibri" w:cs="Times New Roman"/>
          <w:sz w:val="24"/>
          <w:szCs w:val="24"/>
          <w:lang w:eastAsia="en-US"/>
        </w:rPr>
        <w:t xml:space="preserve"> ειδικά στον κλάδο του εμπορίου το δεύτερο εξάμηνο</w:t>
      </w:r>
      <w:r w:rsidR="0011287B" w:rsidRPr="003B5CAF">
        <w:rPr>
          <w:rFonts w:ascii="Calibri" w:eastAsia="Calibri" w:hAnsi="Calibri" w:cs="Times New Roman"/>
          <w:sz w:val="24"/>
          <w:szCs w:val="24"/>
          <w:lang w:eastAsia="en-US"/>
        </w:rPr>
        <w:t xml:space="preserve"> του 2023</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που διαχρονικά φέρνει καλύτερα αποτελέσματα λόγω της επίδρασης του τουρισμού</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απεικονίζει ίσως το πρόβλημα της συρρίκνωσης της αγοραστικής δύναμης των καταναλωτών λόγω του </w:t>
      </w:r>
      <w:proofErr w:type="spellStart"/>
      <w:r w:rsidRPr="00C70C53">
        <w:rPr>
          <w:rFonts w:ascii="Calibri" w:eastAsia="Calibri" w:hAnsi="Calibri" w:cs="Times New Roman"/>
          <w:sz w:val="24"/>
          <w:szCs w:val="24"/>
          <w:lang w:eastAsia="en-US"/>
        </w:rPr>
        <w:t>υπερδιετούς</w:t>
      </w:r>
      <w:proofErr w:type="spellEnd"/>
      <w:r w:rsidRPr="00C70C53">
        <w:rPr>
          <w:rFonts w:ascii="Calibri" w:eastAsia="Calibri" w:hAnsi="Calibri" w:cs="Times New Roman"/>
          <w:sz w:val="24"/>
          <w:szCs w:val="24"/>
          <w:lang w:eastAsia="en-US"/>
        </w:rPr>
        <w:t xml:space="preserve"> </w:t>
      </w:r>
      <w:r w:rsidR="005549E1">
        <w:rPr>
          <w:rFonts w:ascii="Calibri" w:eastAsia="Calibri" w:hAnsi="Calibri" w:cs="Times New Roman"/>
          <w:sz w:val="24"/>
          <w:szCs w:val="24"/>
          <w:lang w:eastAsia="en-US"/>
        </w:rPr>
        <w:t>υψηλού</w:t>
      </w:r>
      <w:r w:rsidR="005549E1" w:rsidRPr="00C70C53">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πληθωρισμού.</w:t>
      </w:r>
    </w:p>
    <w:p w14:paraId="10F5CE3B" w14:textId="6C22E938"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lastRenderedPageBreak/>
        <w:t xml:space="preserve">Ο κύκλος εργασιών των επιχειρήσεων επηρεάζεται σημαντικά από το μέγεθός </w:t>
      </w:r>
      <w:r w:rsidR="005549E1">
        <w:rPr>
          <w:rFonts w:ascii="Calibri" w:eastAsia="Calibri" w:hAnsi="Calibri" w:cs="Times New Roman"/>
          <w:sz w:val="24"/>
          <w:szCs w:val="24"/>
          <w:lang w:eastAsia="en-US"/>
        </w:rPr>
        <w:t>τους,</w:t>
      </w:r>
      <w:r w:rsidRPr="00C70C53">
        <w:rPr>
          <w:rFonts w:ascii="Calibri" w:eastAsia="Calibri" w:hAnsi="Calibri" w:cs="Times New Roman"/>
          <w:sz w:val="24"/>
          <w:szCs w:val="24"/>
          <w:lang w:eastAsia="en-US"/>
        </w:rPr>
        <w:t xml:space="preserve"> καθώς οι μεγαλύτερες επιχειρήσεις με βάση τόσο τον κύκλο εργασιών (πάνω από 300.000</w:t>
      </w:r>
      <w:r w:rsidR="005549E1">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 όσο και τον αριθμό εργαζομένων (πάνω από 5 άτομα) παρουσιάζουν σημαντικά καλύτερες επιδόσεις σε σχέση με τις μικρότερες επιχειρήσεις</w:t>
      </w:r>
      <w:r w:rsidR="00EE3DCA">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(έως 50.000 € κύκλο εργασιών ή/και χωρίς προσωπικό, Γράφημα 4). Ειδικότερα, το 45,6% και το 42% των επιχειρήσεων με κύκλο εργασιών άνω των 300.000</w:t>
      </w:r>
      <w:r w:rsidR="005549E1">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 και άνω των 5 εργαζόμενων</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αντίστοιχα, δήλωσαν ότι αυξήθηκε ο κύκλος εργασιών τους το δεύτερο εξάμηνο του 2023, έναντι 19% και 18,9%</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αντίστοιχα</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που δήλωσαν μείωση.</w:t>
      </w:r>
      <w:r w:rsidR="00EE3DCA">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Από την άλλη μεριά</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το 20,3% και </w:t>
      </w:r>
      <w:r w:rsidR="005549E1">
        <w:rPr>
          <w:rFonts w:ascii="Calibri" w:eastAsia="Calibri" w:hAnsi="Calibri" w:cs="Times New Roman"/>
          <w:sz w:val="24"/>
          <w:szCs w:val="24"/>
          <w:lang w:eastAsia="en-US"/>
        </w:rPr>
        <w:t xml:space="preserve">το </w:t>
      </w:r>
      <w:r w:rsidRPr="00C70C53">
        <w:rPr>
          <w:rFonts w:ascii="Calibri" w:eastAsia="Calibri" w:hAnsi="Calibri" w:cs="Times New Roman"/>
          <w:sz w:val="24"/>
          <w:szCs w:val="24"/>
          <w:lang w:eastAsia="en-US"/>
        </w:rPr>
        <w:t>22,5% των επιχειρήσεων με κύκλο εργασιών έως 50.000 € και εκείνων χωρίς προσωπικό</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αντίστοιχα</w:t>
      </w:r>
      <w:r w:rsidR="005549E1">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δήλωσαν αύξηση του κύκλου εργασιών</w:t>
      </w:r>
      <w:r w:rsidR="00FC534C">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έναντι 43,4% και 46,8%</w:t>
      </w:r>
      <w:r w:rsidR="00FC534C">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αντίστοιχα</w:t>
      </w:r>
      <w:r w:rsidR="00FC534C">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που δήλωσαν μείωση. </w:t>
      </w:r>
    </w:p>
    <w:p w14:paraId="40F575F7" w14:textId="22B182A2" w:rsidR="00C70C53" w:rsidRPr="00C70C53" w:rsidRDefault="00C70C53" w:rsidP="0038756A">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 xml:space="preserve">Όσον αφορά τη γεωγραφική κατανομή, με βάση την εξέλιξη του κύκλου εργασιών, οι περισσότερες επιχειρήσεις που δήλωσαν ότι είχαν αύξηση είναι εγκατεστημένες στα Νησιά του Αιγαίου και </w:t>
      </w:r>
      <w:r w:rsidR="00E402C4">
        <w:rPr>
          <w:rFonts w:ascii="Calibri" w:eastAsia="Calibri" w:hAnsi="Calibri" w:cs="Times New Roman"/>
          <w:sz w:val="24"/>
          <w:szCs w:val="24"/>
          <w:lang w:eastAsia="en-US"/>
        </w:rPr>
        <w:t>σ</w:t>
      </w:r>
      <w:r w:rsidRPr="00C70C53">
        <w:rPr>
          <w:rFonts w:ascii="Calibri" w:eastAsia="Calibri" w:hAnsi="Calibri" w:cs="Times New Roman"/>
          <w:sz w:val="24"/>
          <w:szCs w:val="24"/>
          <w:lang w:eastAsia="en-US"/>
        </w:rPr>
        <w:t>την Κρήτη (33,7% αύξηση κύκλου εργασιών έναντι 23,1% μείωση)</w:t>
      </w:r>
      <w:r w:rsidR="00E402C4">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ενώ οι επιχειρήσεις με τη χειρότερη επίδοση συγκεντρώνονται στην Κεντρική Ελλάδα (27,1% αύξηση κύκλου εργασιών</w:t>
      </w:r>
      <w:r w:rsidR="00E402C4">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έναντι 40,3% μείωση). </w:t>
      </w:r>
    </w:p>
    <w:p w14:paraId="23BB57FA" w14:textId="0A309A62" w:rsidR="00C70C53" w:rsidRPr="00C70C53" w:rsidRDefault="00A23208" w:rsidP="00C70C53">
      <w:pPr>
        <w:spacing w:after="160" w:line="259" w:lineRule="auto"/>
        <w:rPr>
          <w:rFonts w:ascii="Calibri" w:eastAsia="Calibri" w:hAnsi="Calibri" w:cs="Times New Roman"/>
          <w:lang w:eastAsia="en-US"/>
        </w:rPr>
      </w:pPr>
      <w:r>
        <w:rPr>
          <w:noProof/>
        </w:rPr>
        <w:drawing>
          <wp:inline distT="0" distB="0" distL="0" distR="0" wp14:anchorId="059F468C" wp14:editId="023F5F06">
            <wp:extent cx="6647290" cy="4572000"/>
            <wp:effectExtent l="0" t="0" r="20320" b="1905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52AE417" w14:textId="10E3E76F"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lastRenderedPageBreak/>
        <w:t>Όσον αφορά τις επιχειρήσεις οι οποίες δήλωσαν αύξηση κύκλου εργασιών (29,1%) το δεύτερο εξάμηνο του 2023, για το 51,1% η αύξηση ήταν έως 10%, για το 30,9%</w:t>
      </w:r>
      <w:r w:rsidR="00EE3DCA">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 xml:space="preserve">από 11% έως 20%, για το 6,9% από 21% έως 40% και για το 3,9% πάνω από 40%. </w:t>
      </w:r>
    </w:p>
    <w:p w14:paraId="15182CB7" w14:textId="5966D70B" w:rsidR="00C70C53" w:rsidRPr="003B5CAF"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Αναφορικά με τις επιχειρήσεις που δήλωσαν μείωση κύκλου εργασιών (34,2%), το 23,7% δήλωσε ότι είχε πτώση έως 10%, το 29,2% μεταξύ 11%-20%, το 19,7% μεταξύ 21%-40% και το 12,4% άνω του 40%.</w:t>
      </w:r>
      <w:r w:rsidR="00EE3DCA">
        <w:rPr>
          <w:rFonts w:ascii="Calibri" w:eastAsia="Calibri" w:hAnsi="Calibri" w:cs="Times New Roman"/>
          <w:sz w:val="24"/>
          <w:szCs w:val="24"/>
          <w:lang w:eastAsia="en-US"/>
        </w:rPr>
        <w:t xml:space="preserve"> </w:t>
      </w:r>
    </w:p>
    <w:p w14:paraId="53B11967" w14:textId="4EA4868B"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Σε ό</w:t>
      </w:r>
      <w:r w:rsidR="00911A8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τι αφορά τις προβλέψεις των επιχειρήσεων για το </w:t>
      </w:r>
      <w:r>
        <w:rPr>
          <w:rFonts w:ascii="Calibri" w:eastAsia="Calibri" w:hAnsi="Calibri" w:cs="Times New Roman"/>
          <w:sz w:val="24"/>
          <w:szCs w:val="24"/>
          <w:lang w:eastAsia="en-US"/>
        </w:rPr>
        <w:t>πρώτο</w:t>
      </w:r>
      <w:r w:rsidRPr="00F67D2C">
        <w:rPr>
          <w:rFonts w:ascii="Calibri" w:eastAsia="Calibri" w:hAnsi="Calibri" w:cs="Times New Roman"/>
          <w:sz w:val="24"/>
          <w:szCs w:val="24"/>
          <w:lang w:eastAsia="en-US"/>
        </w:rPr>
        <w:t xml:space="preserve"> εξάμηνο</w:t>
      </w:r>
      <w:r>
        <w:rPr>
          <w:rFonts w:ascii="Calibri" w:eastAsia="Calibri" w:hAnsi="Calibri" w:cs="Times New Roman"/>
          <w:sz w:val="24"/>
          <w:szCs w:val="24"/>
          <w:lang w:eastAsia="en-US"/>
        </w:rPr>
        <w:t xml:space="preserve"> του 2024</w:t>
      </w:r>
      <w:r w:rsidRPr="00F67D2C">
        <w:rPr>
          <w:rFonts w:ascii="Calibri" w:eastAsia="Calibri" w:hAnsi="Calibri" w:cs="Times New Roman"/>
          <w:sz w:val="24"/>
          <w:szCs w:val="24"/>
          <w:lang w:eastAsia="en-US"/>
        </w:rPr>
        <w:t>, παρατηρείται μια κάμψη της αισιοδοξίας</w:t>
      </w:r>
      <w:r w:rsidR="00A82E67">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καθώς το 22,3% </w:t>
      </w:r>
      <w:r>
        <w:rPr>
          <w:rFonts w:ascii="Calibri" w:eastAsia="Calibri" w:hAnsi="Calibri" w:cs="Times New Roman"/>
          <w:sz w:val="24"/>
          <w:szCs w:val="24"/>
          <w:lang w:eastAsia="en-US"/>
        </w:rPr>
        <w:t xml:space="preserve">εκτιμά </w:t>
      </w:r>
      <w:r w:rsidRPr="00F67D2C">
        <w:rPr>
          <w:rFonts w:ascii="Calibri" w:eastAsia="Calibri" w:hAnsi="Calibri" w:cs="Times New Roman"/>
          <w:sz w:val="24"/>
          <w:szCs w:val="24"/>
          <w:lang w:eastAsia="en-US"/>
        </w:rPr>
        <w:t xml:space="preserve">αύξηση του κύκλου εργασιών, έναντι 27% που </w:t>
      </w:r>
      <w:r>
        <w:rPr>
          <w:rFonts w:ascii="Calibri" w:eastAsia="Calibri" w:hAnsi="Calibri" w:cs="Times New Roman"/>
          <w:sz w:val="24"/>
          <w:szCs w:val="24"/>
          <w:lang w:eastAsia="en-US"/>
        </w:rPr>
        <w:t>εκτιμά</w:t>
      </w:r>
      <w:r w:rsidRPr="00F67D2C">
        <w:rPr>
          <w:rFonts w:ascii="Calibri" w:eastAsia="Calibri" w:hAnsi="Calibri" w:cs="Times New Roman"/>
          <w:sz w:val="24"/>
          <w:szCs w:val="24"/>
          <w:lang w:eastAsia="en-US"/>
        </w:rPr>
        <w:t xml:space="preserve"> μείωση και 40,7% που </w:t>
      </w:r>
      <w:r>
        <w:rPr>
          <w:rFonts w:ascii="Calibri" w:eastAsia="Calibri" w:hAnsi="Calibri" w:cs="Times New Roman"/>
          <w:sz w:val="24"/>
          <w:szCs w:val="24"/>
          <w:lang w:eastAsia="en-US"/>
        </w:rPr>
        <w:t>δήλωσε ότι θα παραμείνει στα</w:t>
      </w:r>
      <w:r w:rsidRPr="00F67D2C">
        <w:rPr>
          <w:rFonts w:ascii="Calibri" w:eastAsia="Calibri" w:hAnsi="Calibri" w:cs="Times New Roman"/>
          <w:sz w:val="24"/>
          <w:szCs w:val="24"/>
          <w:lang w:eastAsia="en-US"/>
        </w:rPr>
        <w:t xml:space="preserve"> ίδια επίπεδα. </w:t>
      </w:r>
    </w:p>
    <w:p w14:paraId="4C2876E8" w14:textId="5954B7E8"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Περισσότερο αισιόδοξες είναι οι επιχειρήσεις του κλάδου μεταποίησης</w:t>
      </w:r>
      <w:r w:rsidR="00A82E67">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βιοτεχνίας, όπου το 29,7% των επιχειρήσεων αναμένει αύξηση κύκλου εργασιών, έναντι 21,1% που αναμένει συρρίκνωση. Στον τομέα των υπηρεσιών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το 20,7% των επιχειρήσεων αναμένει μεγέθυνση έναντι 22,9% που προβλέπει υποχώρηση του κύκλου εργασιών. Μακράν πιο απαισιόδοξος είναι ο κλάδος του εμπορίου με το 19,5% να προβλέπει αύξηση</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έναντι 34,8% που προβλέπει μείωση κύκλου εργασιών. </w:t>
      </w:r>
    </w:p>
    <w:p w14:paraId="4766911A" w14:textId="45F49A79"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 xml:space="preserve">Η εκτίμηση των επιχειρήσεων για το </w:t>
      </w:r>
      <w:r>
        <w:rPr>
          <w:rFonts w:ascii="Calibri" w:eastAsia="Calibri" w:hAnsi="Calibri" w:cs="Times New Roman"/>
          <w:sz w:val="24"/>
          <w:szCs w:val="24"/>
          <w:lang w:eastAsia="en-US"/>
        </w:rPr>
        <w:t>πρώτο εξάμηνο του 2024</w:t>
      </w:r>
      <w:r w:rsidRPr="00F67D2C">
        <w:rPr>
          <w:rFonts w:ascii="Calibri" w:eastAsia="Calibri" w:hAnsi="Calibri" w:cs="Times New Roman"/>
          <w:sz w:val="24"/>
          <w:szCs w:val="24"/>
          <w:lang w:eastAsia="en-US"/>
        </w:rPr>
        <w:t xml:space="preserve"> εξαρτάται σημαντικά από το μέγεθος της επιχείρησης, καθώς το 37,4% των επιχειρήσεων με τζίρο άνω των 300.000</w:t>
      </w:r>
      <w:r w:rsidR="00580676">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 αναμένει αύξηση του κύκλου εργασιών έναντι</w:t>
      </w:r>
      <w:r w:rsidR="00EE3DCA">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20,4% που προβλέπει μείωση. Ισορροπημένη χαρακτηρίζεται η εκτίμηση των επιχειρήσεων με τζίρο από 100.000 έως 300.000</w:t>
      </w:r>
      <w:r w:rsidR="00580676">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 με το 26,2% να αναμένει αύξηση κύκλου εργασιών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έναντι 25,5% που αναμένει μείωση. </w:t>
      </w:r>
    </w:p>
    <w:p w14:paraId="44D95EB9" w14:textId="7A393C93"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Αντίστροφο πλήρως είναι το κλίμα στις μικρότερες επιχειρήσεις</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αφού </w:t>
      </w:r>
      <w:r>
        <w:rPr>
          <w:rFonts w:ascii="Calibri" w:eastAsia="Calibri" w:hAnsi="Calibri" w:cs="Times New Roman"/>
          <w:sz w:val="24"/>
          <w:szCs w:val="24"/>
          <w:lang w:eastAsia="en-US"/>
        </w:rPr>
        <w:t xml:space="preserve">το 15,2% των επιχειρήσεων </w:t>
      </w:r>
      <w:r w:rsidRPr="00F67D2C">
        <w:rPr>
          <w:rFonts w:ascii="Calibri" w:eastAsia="Calibri" w:hAnsi="Calibri" w:cs="Times New Roman"/>
          <w:sz w:val="24"/>
          <w:szCs w:val="24"/>
          <w:lang w:eastAsia="en-US"/>
        </w:rPr>
        <w:t xml:space="preserve">με </w:t>
      </w:r>
      <w:r>
        <w:rPr>
          <w:rFonts w:ascii="Calibri" w:eastAsia="Calibri" w:hAnsi="Calibri" w:cs="Times New Roman"/>
          <w:sz w:val="24"/>
          <w:szCs w:val="24"/>
          <w:lang w:eastAsia="en-US"/>
        </w:rPr>
        <w:t xml:space="preserve">κύκλο εργασιών </w:t>
      </w:r>
      <w:r w:rsidRPr="00F67D2C">
        <w:rPr>
          <w:rFonts w:ascii="Calibri" w:eastAsia="Calibri" w:hAnsi="Calibri" w:cs="Times New Roman"/>
          <w:sz w:val="24"/>
          <w:szCs w:val="24"/>
          <w:lang w:eastAsia="en-US"/>
        </w:rPr>
        <w:t>μεταξύ 50.000 και 100.000</w:t>
      </w:r>
      <w:r w:rsidR="00580676">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αναμένει αύξηση </w:t>
      </w:r>
      <w:r w:rsidR="00580676">
        <w:rPr>
          <w:rFonts w:ascii="Calibri" w:eastAsia="Calibri" w:hAnsi="Calibri" w:cs="Times New Roman"/>
          <w:sz w:val="24"/>
          <w:szCs w:val="24"/>
          <w:lang w:eastAsia="en-US"/>
        </w:rPr>
        <w:t>του</w:t>
      </w:r>
      <w:r w:rsidR="00580676" w:rsidRPr="00F67D2C">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κύκλου εργασιών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έναντι 28% που αναμένει μείωση. Επιπλέον, το 16,2% των επιχειρήσεων με κύκλο εργασιών</w:t>
      </w:r>
      <w:r w:rsidRPr="00F67D2C">
        <w:rPr>
          <w:rFonts w:ascii="Calibri" w:eastAsia="Calibri" w:hAnsi="Calibri" w:cs="Times New Roman"/>
          <w:sz w:val="24"/>
          <w:szCs w:val="24"/>
          <w:lang w:eastAsia="en-US"/>
        </w:rPr>
        <w:t xml:space="preserve"> έως 50.000</w:t>
      </w:r>
      <w:r w:rsidR="00580676">
        <w:rPr>
          <w:rFonts w:ascii="Calibri" w:eastAsia="Calibri" w:hAnsi="Calibri" w:cs="Times New Roman"/>
          <w:sz w:val="24"/>
          <w:szCs w:val="24"/>
          <w:lang w:eastAsia="en-US"/>
        </w:rPr>
        <w:t xml:space="preserve"> </w:t>
      </w:r>
      <w:r w:rsidRPr="00F67D2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εκτιμά </w:t>
      </w:r>
      <w:r w:rsidRPr="00F67D2C">
        <w:rPr>
          <w:rFonts w:ascii="Calibri" w:eastAsia="Calibri" w:hAnsi="Calibri" w:cs="Times New Roman"/>
          <w:sz w:val="24"/>
          <w:szCs w:val="24"/>
          <w:lang w:eastAsia="en-US"/>
        </w:rPr>
        <w:t>αύξηση κύκλου εργασιών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έναντι 31,7% που </w:t>
      </w:r>
      <w:r>
        <w:rPr>
          <w:rFonts w:ascii="Calibri" w:eastAsia="Calibri" w:hAnsi="Calibri" w:cs="Times New Roman"/>
          <w:sz w:val="24"/>
          <w:szCs w:val="24"/>
          <w:lang w:eastAsia="en-US"/>
        </w:rPr>
        <w:t>αναμένει</w:t>
      </w:r>
      <w:r w:rsidRPr="00F67D2C">
        <w:rPr>
          <w:rFonts w:ascii="Calibri" w:eastAsia="Calibri" w:hAnsi="Calibri" w:cs="Times New Roman"/>
          <w:sz w:val="24"/>
          <w:szCs w:val="24"/>
          <w:lang w:eastAsia="en-US"/>
        </w:rPr>
        <w:t xml:space="preserve"> μείωση. </w:t>
      </w:r>
    </w:p>
    <w:p w14:paraId="292A98FB" w14:textId="3E6B0120"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Κυρίαρχη είναι η απαισιοδοξία στην Κεντρική Ελλάδα και στη Βόρεια Ελλάδα</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όπου το 30,1% και το 28% των επιχειρήσεων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αντίστοιχα</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αναμένει μείωση του κύκλου εργασιών</w:t>
      </w:r>
      <w:r>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έναντι 20,4% και 19,3%</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αντίστοιχα</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που </w:t>
      </w:r>
      <w:r>
        <w:rPr>
          <w:rFonts w:ascii="Calibri" w:eastAsia="Calibri" w:hAnsi="Calibri" w:cs="Times New Roman"/>
          <w:sz w:val="24"/>
          <w:szCs w:val="24"/>
          <w:lang w:eastAsia="en-US"/>
        </w:rPr>
        <w:t>αναμένει</w:t>
      </w:r>
      <w:r w:rsidRPr="00F67D2C">
        <w:rPr>
          <w:rFonts w:ascii="Calibri" w:eastAsia="Calibri" w:hAnsi="Calibri" w:cs="Times New Roman"/>
          <w:sz w:val="24"/>
          <w:szCs w:val="24"/>
          <w:lang w:eastAsia="en-US"/>
        </w:rPr>
        <w:t xml:space="preserve"> αύξηση. Οριακά καλύτερη είναι η εικόνα στην Αττική</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με το 27% να εκτιμά συρρίκνωση κύκλου εργασιών</w:t>
      </w:r>
      <w:r w:rsidR="0058067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έναντι 23,2% που αναμένει αύξηση. Θετικό είναι το ισοζύγιο μόνο στα νησιά Αιγαίου και </w:t>
      </w:r>
      <w:r w:rsidR="00580676">
        <w:rPr>
          <w:rFonts w:ascii="Calibri" w:eastAsia="Calibri" w:hAnsi="Calibri" w:cs="Times New Roman"/>
          <w:sz w:val="24"/>
          <w:szCs w:val="24"/>
          <w:lang w:eastAsia="en-US"/>
        </w:rPr>
        <w:t>σ</w:t>
      </w:r>
      <w:r w:rsidRPr="00F67D2C">
        <w:rPr>
          <w:rFonts w:ascii="Calibri" w:eastAsia="Calibri" w:hAnsi="Calibri" w:cs="Times New Roman"/>
          <w:sz w:val="24"/>
          <w:szCs w:val="24"/>
          <w:lang w:eastAsia="en-US"/>
        </w:rPr>
        <w:t xml:space="preserve">την Κρήτη, </w:t>
      </w:r>
      <w:r w:rsidR="00580676">
        <w:rPr>
          <w:rFonts w:ascii="Calibri" w:eastAsia="Calibri" w:hAnsi="Calibri" w:cs="Times New Roman"/>
          <w:sz w:val="24"/>
          <w:szCs w:val="24"/>
          <w:lang w:eastAsia="en-US"/>
        </w:rPr>
        <w:t>στο κατώφλι</w:t>
      </w:r>
      <w:r w:rsidRPr="00F67D2C">
        <w:rPr>
          <w:rFonts w:ascii="Calibri" w:eastAsia="Calibri" w:hAnsi="Calibri" w:cs="Times New Roman"/>
          <w:sz w:val="24"/>
          <w:szCs w:val="24"/>
          <w:lang w:eastAsia="en-US"/>
        </w:rPr>
        <w:t xml:space="preserve"> της νέας τουριστικής περιόδου, όπου το 29,8% αναμένει αύξηση κύκλου εργασιών και το 19,2% μείωση. </w:t>
      </w:r>
    </w:p>
    <w:p w14:paraId="5B78198F" w14:textId="77777777" w:rsidR="00C70C53" w:rsidRDefault="00C70C53" w:rsidP="00413CE5">
      <w:pPr>
        <w:spacing w:after="0" w:line="360" w:lineRule="auto"/>
        <w:jc w:val="both"/>
      </w:pPr>
    </w:p>
    <w:p w14:paraId="496E7B08" w14:textId="77777777" w:rsidR="0008588D" w:rsidRPr="00A01605" w:rsidRDefault="0008588D" w:rsidP="00A01605">
      <w:pPr>
        <w:pStyle w:val="a3"/>
        <w:numPr>
          <w:ilvl w:val="0"/>
          <w:numId w:val="17"/>
        </w:numPr>
        <w:spacing w:line="360" w:lineRule="auto"/>
        <w:rPr>
          <w:b/>
          <w:bCs/>
          <w:sz w:val="24"/>
          <w:szCs w:val="24"/>
          <w:u w:val="single"/>
        </w:rPr>
      </w:pPr>
      <w:r w:rsidRPr="00A01605">
        <w:rPr>
          <w:b/>
          <w:bCs/>
          <w:sz w:val="24"/>
          <w:szCs w:val="24"/>
          <w:u w:val="single"/>
        </w:rPr>
        <w:lastRenderedPageBreak/>
        <w:t>Αποτελέσματα χρήσης</w:t>
      </w:r>
    </w:p>
    <w:p w14:paraId="2E72C663" w14:textId="563693DC" w:rsidR="0008588D" w:rsidRPr="00A01605" w:rsidRDefault="004047A2" w:rsidP="00A01605">
      <w:pPr>
        <w:spacing w:line="360" w:lineRule="auto"/>
        <w:jc w:val="both"/>
        <w:rPr>
          <w:sz w:val="24"/>
          <w:szCs w:val="24"/>
        </w:rPr>
      </w:pPr>
      <w:r w:rsidRPr="00A01605">
        <w:rPr>
          <w:sz w:val="24"/>
          <w:szCs w:val="24"/>
        </w:rPr>
        <w:t>Με βάση τα ευρήματα της έρευν</w:t>
      </w:r>
      <w:r w:rsidR="00A75C73" w:rsidRPr="00A01605">
        <w:rPr>
          <w:sz w:val="24"/>
          <w:szCs w:val="24"/>
        </w:rPr>
        <w:t>α</w:t>
      </w:r>
      <w:r w:rsidRPr="00A01605">
        <w:rPr>
          <w:sz w:val="24"/>
          <w:szCs w:val="24"/>
        </w:rPr>
        <w:t>ς για τ</w:t>
      </w:r>
      <w:r w:rsidR="0008588D" w:rsidRPr="00A01605">
        <w:rPr>
          <w:sz w:val="24"/>
          <w:szCs w:val="24"/>
        </w:rPr>
        <w:t>α αποτελέσματα</w:t>
      </w:r>
      <w:r w:rsidR="0011287B">
        <w:rPr>
          <w:sz w:val="24"/>
          <w:szCs w:val="24"/>
        </w:rPr>
        <w:t xml:space="preserve"> χρήσης των επιχειρήσεων το 2023</w:t>
      </w:r>
      <w:r w:rsidR="0008588D" w:rsidRPr="00A01605">
        <w:rPr>
          <w:sz w:val="24"/>
          <w:szCs w:val="24"/>
        </w:rPr>
        <w:t xml:space="preserve"> (κέρδη ή </w:t>
      </w:r>
      <w:r w:rsidR="00580676" w:rsidRPr="00A01605">
        <w:rPr>
          <w:sz w:val="24"/>
          <w:szCs w:val="24"/>
        </w:rPr>
        <w:t>ζημ</w:t>
      </w:r>
      <w:r w:rsidR="00580676">
        <w:rPr>
          <w:sz w:val="24"/>
          <w:szCs w:val="24"/>
        </w:rPr>
        <w:t>ίε</w:t>
      </w:r>
      <w:r w:rsidR="00580676" w:rsidRPr="00A01605">
        <w:rPr>
          <w:sz w:val="24"/>
          <w:szCs w:val="24"/>
        </w:rPr>
        <w:t>ς</w:t>
      </w:r>
      <w:r w:rsidR="0008588D" w:rsidRPr="00A01605">
        <w:rPr>
          <w:sz w:val="24"/>
          <w:szCs w:val="24"/>
        </w:rPr>
        <w:t xml:space="preserve">) η κατάσταση </w:t>
      </w:r>
      <w:r w:rsidRPr="00A01605">
        <w:rPr>
          <w:sz w:val="24"/>
          <w:szCs w:val="24"/>
        </w:rPr>
        <w:t>παρουσιάζεται</w:t>
      </w:r>
      <w:r w:rsidR="0008588D" w:rsidRPr="00A01605">
        <w:rPr>
          <w:sz w:val="24"/>
          <w:szCs w:val="24"/>
        </w:rPr>
        <w:t xml:space="preserve"> εμφανώς βελτιωμένη σε σχέση με τα προηγούμενα έτη </w:t>
      </w:r>
      <w:r w:rsidR="00EA30F5">
        <w:rPr>
          <w:sz w:val="24"/>
          <w:szCs w:val="24"/>
        </w:rPr>
        <w:t>και ιδιαίτερα εκείνα της υγειονομικής κρίσης</w:t>
      </w:r>
      <w:r w:rsidR="00125948" w:rsidRPr="00A01605">
        <w:rPr>
          <w:sz w:val="24"/>
          <w:szCs w:val="24"/>
        </w:rPr>
        <w:t>. Όπως φαίνεται στο Γράφημα 5</w:t>
      </w:r>
      <w:r w:rsidR="00580676">
        <w:rPr>
          <w:sz w:val="24"/>
          <w:szCs w:val="24"/>
        </w:rPr>
        <w:t>,</w:t>
      </w:r>
      <w:r w:rsidRPr="00A01605">
        <w:rPr>
          <w:sz w:val="24"/>
          <w:szCs w:val="24"/>
        </w:rPr>
        <w:t xml:space="preserve"> το</w:t>
      </w:r>
      <w:r w:rsidR="0008588D" w:rsidRPr="00A01605">
        <w:rPr>
          <w:sz w:val="24"/>
          <w:szCs w:val="24"/>
        </w:rPr>
        <w:t xml:space="preserve"> </w:t>
      </w:r>
      <w:r w:rsidR="00EA30F5">
        <w:rPr>
          <w:sz w:val="24"/>
          <w:szCs w:val="24"/>
        </w:rPr>
        <w:t>57,3</w:t>
      </w:r>
      <w:r w:rsidR="0008588D" w:rsidRPr="00A01605">
        <w:rPr>
          <w:sz w:val="24"/>
          <w:szCs w:val="24"/>
        </w:rPr>
        <w:t>% των επιχ</w:t>
      </w:r>
      <w:r w:rsidR="00125948" w:rsidRPr="00A01605">
        <w:rPr>
          <w:sz w:val="24"/>
          <w:szCs w:val="24"/>
        </w:rPr>
        <w:t>ειρήσεων δήλωσε ότι είχε</w:t>
      </w:r>
      <w:r w:rsidR="00EA30F5">
        <w:rPr>
          <w:sz w:val="24"/>
          <w:szCs w:val="24"/>
        </w:rPr>
        <w:t xml:space="preserve"> κέρδη το 2023, έναντι 19,2% που δήλωσε </w:t>
      </w:r>
      <w:r w:rsidR="00580676">
        <w:rPr>
          <w:sz w:val="24"/>
          <w:szCs w:val="24"/>
        </w:rPr>
        <w:t xml:space="preserve">ζημίες </w:t>
      </w:r>
      <w:r w:rsidR="00EA30F5">
        <w:rPr>
          <w:sz w:val="24"/>
          <w:szCs w:val="24"/>
        </w:rPr>
        <w:t xml:space="preserve">και 13,7% που δήλωσε πως δεν είχε ούτε </w:t>
      </w:r>
      <w:r w:rsidR="00580676">
        <w:rPr>
          <w:sz w:val="24"/>
          <w:szCs w:val="24"/>
        </w:rPr>
        <w:t>ζημίες</w:t>
      </w:r>
      <w:r w:rsidR="00EA30F5">
        <w:rPr>
          <w:sz w:val="24"/>
          <w:szCs w:val="24"/>
        </w:rPr>
        <w:t>, ούτε κέρδη</w:t>
      </w:r>
      <w:r w:rsidR="00125948" w:rsidRPr="00A01605">
        <w:rPr>
          <w:sz w:val="24"/>
          <w:szCs w:val="24"/>
        </w:rPr>
        <w:t xml:space="preserve">. </w:t>
      </w:r>
      <w:r w:rsidR="00830ADA" w:rsidRPr="00A01605">
        <w:rPr>
          <w:sz w:val="24"/>
          <w:szCs w:val="24"/>
        </w:rPr>
        <w:t>Σημειώνεται ότι το 2019 (προ πανδημίας)</w:t>
      </w:r>
      <w:r w:rsidR="00125948" w:rsidRPr="00A01605">
        <w:rPr>
          <w:sz w:val="24"/>
          <w:szCs w:val="24"/>
        </w:rPr>
        <w:t xml:space="preserve"> </w:t>
      </w:r>
      <w:r w:rsidR="00830ADA" w:rsidRPr="00A01605">
        <w:rPr>
          <w:sz w:val="24"/>
          <w:szCs w:val="24"/>
        </w:rPr>
        <w:t xml:space="preserve">το ποσοστό των επιχειρήσεων που είχε δηλώσει κέρδη </w:t>
      </w:r>
      <w:r w:rsidR="00580676">
        <w:rPr>
          <w:sz w:val="24"/>
          <w:szCs w:val="24"/>
        </w:rPr>
        <w:t>ήταν</w:t>
      </w:r>
      <w:r w:rsidR="00580676" w:rsidRPr="00A01605">
        <w:rPr>
          <w:sz w:val="24"/>
          <w:szCs w:val="24"/>
        </w:rPr>
        <w:t xml:space="preserve"> </w:t>
      </w:r>
      <w:r w:rsidR="00830ADA" w:rsidRPr="00A01605">
        <w:rPr>
          <w:sz w:val="24"/>
          <w:szCs w:val="24"/>
        </w:rPr>
        <w:t>το 55,2%</w:t>
      </w:r>
      <w:r w:rsidRPr="00A01605">
        <w:rPr>
          <w:sz w:val="24"/>
          <w:szCs w:val="24"/>
        </w:rPr>
        <w:t>.</w:t>
      </w:r>
    </w:p>
    <w:p w14:paraId="4622E74C" w14:textId="1110F665" w:rsidR="00ED77A6" w:rsidRDefault="003B5CAF" w:rsidP="0008588D">
      <w:r>
        <w:rPr>
          <w:noProof/>
        </w:rPr>
        <w:drawing>
          <wp:inline distT="0" distB="0" distL="0" distR="0" wp14:anchorId="52C93271" wp14:editId="75A230B3">
            <wp:extent cx="6607534" cy="2480807"/>
            <wp:effectExtent l="0" t="0" r="22225" b="15240"/>
            <wp:docPr id="20" name="Γράφημα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15B54F" w14:textId="12325063" w:rsidR="0008588D" w:rsidRPr="00A01605" w:rsidRDefault="00023FE7" w:rsidP="00A01605">
      <w:pPr>
        <w:spacing w:line="360" w:lineRule="auto"/>
        <w:jc w:val="both"/>
        <w:rPr>
          <w:sz w:val="24"/>
          <w:szCs w:val="24"/>
        </w:rPr>
      </w:pPr>
      <w:r w:rsidRPr="00A01605">
        <w:rPr>
          <w:sz w:val="24"/>
          <w:szCs w:val="24"/>
        </w:rPr>
        <w:t>Σε τομεακό επίπεδο</w:t>
      </w:r>
      <w:r w:rsidR="00261E45">
        <w:rPr>
          <w:sz w:val="24"/>
          <w:szCs w:val="24"/>
        </w:rPr>
        <w:t>,</w:t>
      </w:r>
      <w:r w:rsidR="00EA30F5">
        <w:rPr>
          <w:sz w:val="24"/>
          <w:szCs w:val="24"/>
        </w:rPr>
        <w:t xml:space="preserve"> το 2023</w:t>
      </w:r>
      <w:r w:rsidR="0008588D" w:rsidRPr="00A01605">
        <w:rPr>
          <w:sz w:val="24"/>
          <w:szCs w:val="24"/>
        </w:rPr>
        <w:t xml:space="preserve"> </w:t>
      </w:r>
      <w:r w:rsidR="00A75C73" w:rsidRPr="00A01605">
        <w:rPr>
          <w:sz w:val="24"/>
          <w:szCs w:val="24"/>
        </w:rPr>
        <w:t xml:space="preserve">κέρδη </w:t>
      </w:r>
      <w:r w:rsidRPr="00A01605">
        <w:rPr>
          <w:sz w:val="24"/>
          <w:szCs w:val="24"/>
        </w:rPr>
        <w:t xml:space="preserve">δήλωσε το </w:t>
      </w:r>
      <w:r w:rsidR="00EA30F5">
        <w:rPr>
          <w:sz w:val="24"/>
          <w:szCs w:val="24"/>
        </w:rPr>
        <w:t>60</w:t>
      </w:r>
      <w:r w:rsidRPr="00A01605">
        <w:rPr>
          <w:sz w:val="24"/>
          <w:szCs w:val="24"/>
        </w:rPr>
        <w:t xml:space="preserve">% των επιχειρήσεων της μεταποίησης, το </w:t>
      </w:r>
      <w:r w:rsidR="00EA30F5">
        <w:rPr>
          <w:sz w:val="24"/>
          <w:szCs w:val="24"/>
        </w:rPr>
        <w:t>59,2</w:t>
      </w:r>
      <w:r w:rsidRPr="00A01605">
        <w:rPr>
          <w:sz w:val="24"/>
          <w:szCs w:val="24"/>
        </w:rPr>
        <w:t xml:space="preserve">% των επιχειρήσεων στον τομέα των υπηρεσιών και το </w:t>
      </w:r>
      <w:r w:rsidR="00EA30F5">
        <w:rPr>
          <w:sz w:val="24"/>
          <w:szCs w:val="24"/>
        </w:rPr>
        <w:t>53,6</w:t>
      </w:r>
      <w:r w:rsidRPr="00A01605">
        <w:rPr>
          <w:sz w:val="24"/>
          <w:szCs w:val="24"/>
        </w:rPr>
        <w:t>% των εμπορικών επιχειρήσεων.</w:t>
      </w:r>
      <w:r w:rsidR="00EE3DCA">
        <w:rPr>
          <w:sz w:val="24"/>
          <w:szCs w:val="24"/>
        </w:rPr>
        <w:t xml:space="preserve"> </w:t>
      </w:r>
      <w:r w:rsidR="00A75C73" w:rsidRPr="00A01605">
        <w:rPr>
          <w:sz w:val="24"/>
          <w:szCs w:val="24"/>
        </w:rPr>
        <w:t xml:space="preserve"> </w:t>
      </w:r>
    </w:p>
    <w:p w14:paraId="2C09482A" w14:textId="0E4CC7A6" w:rsidR="00ED77A6" w:rsidRPr="00DE77D0" w:rsidRDefault="00A75C73" w:rsidP="00DE77D0">
      <w:pPr>
        <w:spacing w:line="360" w:lineRule="auto"/>
        <w:jc w:val="both"/>
        <w:rPr>
          <w:sz w:val="24"/>
          <w:szCs w:val="24"/>
        </w:rPr>
      </w:pPr>
      <w:r w:rsidRPr="00A01605">
        <w:rPr>
          <w:sz w:val="24"/>
          <w:szCs w:val="24"/>
        </w:rPr>
        <w:t xml:space="preserve">Θετική </w:t>
      </w:r>
      <w:r w:rsidR="0008588D" w:rsidRPr="00A01605">
        <w:rPr>
          <w:sz w:val="24"/>
          <w:szCs w:val="24"/>
        </w:rPr>
        <w:t xml:space="preserve">φαίνεται να είναι και η σχέση των αποτελεσμάτων χρήσης με το μέγεθος της επιχείρησης. </w:t>
      </w:r>
      <w:r w:rsidR="00EA30F5">
        <w:rPr>
          <w:sz w:val="24"/>
          <w:szCs w:val="24"/>
        </w:rPr>
        <w:t>Συγκεκριμένα</w:t>
      </w:r>
      <w:r w:rsidR="00261E45">
        <w:rPr>
          <w:sz w:val="24"/>
          <w:szCs w:val="24"/>
        </w:rPr>
        <w:t>,</w:t>
      </w:r>
      <w:r w:rsidR="00EA30F5">
        <w:rPr>
          <w:sz w:val="24"/>
          <w:szCs w:val="24"/>
        </w:rPr>
        <w:t xml:space="preserve"> για το 2023</w:t>
      </w:r>
      <w:r w:rsidR="0008588D" w:rsidRPr="00A01605">
        <w:rPr>
          <w:sz w:val="24"/>
          <w:szCs w:val="24"/>
        </w:rPr>
        <w:t xml:space="preserve"> οι μεγαλύτερες επιχειρήσεις με</w:t>
      </w:r>
      <w:r w:rsidR="00EA30F5">
        <w:rPr>
          <w:sz w:val="24"/>
          <w:szCs w:val="24"/>
        </w:rPr>
        <w:t xml:space="preserve"> βάση τον</w:t>
      </w:r>
      <w:r w:rsidR="0008588D" w:rsidRPr="00A01605">
        <w:rPr>
          <w:sz w:val="24"/>
          <w:szCs w:val="24"/>
        </w:rPr>
        <w:t xml:space="preserve"> </w:t>
      </w:r>
      <w:r w:rsidR="004047A2" w:rsidRPr="00A01605">
        <w:rPr>
          <w:sz w:val="24"/>
          <w:szCs w:val="24"/>
        </w:rPr>
        <w:t>κύκλο εργασιών</w:t>
      </w:r>
      <w:r w:rsidR="0008588D" w:rsidRPr="00A01605">
        <w:rPr>
          <w:sz w:val="24"/>
          <w:szCs w:val="24"/>
        </w:rPr>
        <w:t xml:space="preserve"> </w:t>
      </w:r>
      <w:r w:rsidR="00EA30F5">
        <w:rPr>
          <w:sz w:val="24"/>
          <w:szCs w:val="24"/>
        </w:rPr>
        <w:t>(</w:t>
      </w:r>
      <w:r w:rsidR="0008588D" w:rsidRPr="00A01605">
        <w:rPr>
          <w:sz w:val="24"/>
          <w:szCs w:val="24"/>
        </w:rPr>
        <w:t>πάνω από 30</w:t>
      </w:r>
      <w:r w:rsidR="00ED77A6" w:rsidRPr="00A01605">
        <w:rPr>
          <w:sz w:val="24"/>
          <w:szCs w:val="24"/>
        </w:rPr>
        <w:t>0</w:t>
      </w:r>
      <w:r w:rsidR="0008588D" w:rsidRPr="00A01605">
        <w:rPr>
          <w:sz w:val="24"/>
          <w:szCs w:val="24"/>
        </w:rPr>
        <w:t>.000 €</w:t>
      </w:r>
      <w:r w:rsidR="00EA30F5">
        <w:rPr>
          <w:sz w:val="24"/>
          <w:szCs w:val="24"/>
        </w:rPr>
        <w:t>)</w:t>
      </w:r>
      <w:r w:rsidR="0008588D" w:rsidRPr="00A01605">
        <w:rPr>
          <w:sz w:val="24"/>
          <w:szCs w:val="24"/>
        </w:rPr>
        <w:t xml:space="preserve"> δήλωσαν σε ποσοστό </w:t>
      </w:r>
      <w:r w:rsidR="00EA30F5">
        <w:rPr>
          <w:sz w:val="24"/>
          <w:szCs w:val="24"/>
        </w:rPr>
        <w:t>87,1</w:t>
      </w:r>
      <w:r w:rsidR="0008588D" w:rsidRPr="00A01605">
        <w:rPr>
          <w:sz w:val="24"/>
          <w:szCs w:val="24"/>
        </w:rPr>
        <w:t xml:space="preserve">% ότι είχαν κέρδη, ενώ όσο κατεβαίνουμε </w:t>
      </w:r>
      <w:r w:rsidR="00261E45">
        <w:rPr>
          <w:sz w:val="24"/>
          <w:szCs w:val="24"/>
        </w:rPr>
        <w:t>την</w:t>
      </w:r>
      <w:r w:rsidR="00261E45" w:rsidRPr="00A01605">
        <w:rPr>
          <w:sz w:val="24"/>
          <w:szCs w:val="24"/>
        </w:rPr>
        <w:t xml:space="preserve"> </w:t>
      </w:r>
      <w:r w:rsidR="0008588D" w:rsidRPr="00A01605">
        <w:rPr>
          <w:sz w:val="24"/>
          <w:szCs w:val="24"/>
        </w:rPr>
        <w:t xml:space="preserve">κλίμακα μεγέθους το ποσοστό αυτό μειώνεται φτάνοντας το </w:t>
      </w:r>
      <w:r w:rsidR="00023FE7" w:rsidRPr="00A01605">
        <w:rPr>
          <w:sz w:val="24"/>
          <w:szCs w:val="24"/>
        </w:rPr>
        <w:t>35,9</w:t>
      </w:r>
      <w:r w:rsidR="0008588D" w:rsidRPr="00A01605">
        <w:rPr>
          <w:sz w:val="24"/>
          <w:szCs w:val="24"/>
        </w:rPr>
        <w:t xml:space="preserve">% στην κατηγορία επιχειρήσεων </w:t>
      </w:r>
      <w:r w:rsidR="00ED77A6" w:rsidRPr="00A01605">
        <w:rPr>
          <w:sz w:val="24"/>
          <w:szCs w:val="24"/>
        </w:rPr>
        <w:t xml:space="preserve">με κύκλο εργασιών </w:t>
      </w:r>
      <w:r w:rsidR="0008588D" w:rsidRPr="00A01605">
        <w:rPr>
          <w:sz w:val="24"/>
          <w:szCs w:val="24"/>
        </w:rPr>
        <w:t>έως 50.000</w:t>
      </w:r>
      <w:r w:rsidR="00261E45">
        <w:rPr>
          <w:sz w:val="24"/>
          <w:szCs w:val="24"/>
        </w:rPr>
        <w:t xml:space="preserve"> </w:t>
      </w:r>
      <w:r w:rsidR="0008588D" w:rsidRPr="00A01605">
        <w:rPr>
          <w:sz w:val="24"/>
          <w:szCs w:val="24"/>
        </w:rPr>
        <w:t xml:space="preserve">€. Ανάλογη είναι η εικόνα και για τις </w:t>
      </w:r>
      <w:r w:rsidR="00261E45" w:rsidRPr="00A01605">
        <w:rPr>
          <w:sz w:val="24"/>
          <w:szCs w:val="24"/>
        </w:rPr>
        <w:t>ζημ</w:t>
      </w:r>
      <w:r w:rsidR="00261E45">
        <w:rPr>
          <w:sz w:val="24"/>
          <w:szCs w:val="24"/>
        </w:rPr>
        <w:t>ίε</w:t>
      </w:r>
      <w:r w:rsidR="00261E45" w:rsidRPr="00A01605">
        <w:rPr>
          <w:sz w:val="24"/>
          <w:szCs w:val="24"/>
        </w:rPr>
        <w:t>ς</w:t>
      </w:r>
      <w:r w:rsidR="00261E45">
        <w:rPr>
          <w:sz w:val="24"/>
          <w:szCs w:val="24"/>
        </w:rPr>
        <w:t>,</w:t>
      </w:r>
      <w:r w:rsidR="00261E45" w:rsidRPr="00A01605">
        <w:rPr>
          <w:sz w:val="24"/>
          <w:szCs w:val="24"/>
        </w:rPr>
        <w:t xml:space="preserve"> </w:t>
      </w:r>
      <w:r w:rsidR="0008588D" w:rsidRPr="00A01605">
        <w:rPr>
          <w:sz w:val="24"/>
          <w:szCs w:val="24"/>
        </w:rPr>
        <w:t>με</w:t>
      </w:r>
      <w:r w:rsidR="00ED77A6" w:rsidRPr="00A01605">
        <w:rPr>
          <w:sz w:val="24"/>
          <w:szCs w:val="24"/>
        </w:rPr>
        <w:t xml:space="preserve"> το</w:t>
      </w:r>
      <w:r w:rsidR="0008588D" w:rsidRPr="00A01605">
        <w:rPr>
          <w:sz w:val="24"/>
          <w:szCs w:val="24"/>
        </w:rPr>
        <w:t xml:space="preserve"> </w:t>
      </w:r>
      <w:r w:rsidR="00EA30F5">
        <w:rPr>
          <w:sz w:val="24"/>
          <w:szCs w:val="24"/>
        </w:rPr>
        <w:t>30,3</w:t>
      </w:r>
      <w:r w:rsidR="0008588D" w:rsidRPr="00A01605">
        <w:rPr>
          <w:sz w:val="24"/>
          <w:szCs w:val="24"/>
        </w:rPr>
        <w:t xml:space="preserve">% των επιχειρήσεων με </w:t>
      </w:r>
      <w:r w:rsidR="004047A2" w:rsidRPr="00A01605">
        <w:rPr>
          <w:sz w:val="24"/>
          <w:szCs w:val="24"/>
        </w:rPr>
        <w:t>κύκλο εργασιών</w:t>
      </w:r>
      <w:r w:rsidR="0008588D" w:rsidRPr="00A01605">
        <w:rPr>
          <w:sz w:val="24"/>
          <w:szCs w:val="24"/>
        </w:rPr>
        <w:t xml:space="preserve"> έως 50.000</w:t>
      </w:r>
      <w:r w:rsidR="00261E45">
        <w:rPr>
          <w:sz w:val="24"/>
          <w:szCs w:val="24"/>
        </w:rPr>
        <w:t xml:space="preserve"> </w:t>
      </w:r>
      <w:r w:rsidR="0008588D" w:rsidRPr="00A01605">
        <w:rPr>
          <w:sz w:val="24"/>
          <w:szCs w:val="24"/>
        </w:rPr>
        <w:t xml:space="preserve">€ να δηλώνουν ότι είχαν </w:t>
      </w:r>
      <w:r w:rsidR="00261E45" w:rsidRPr="00A01605">
        <w:rPr>
          <w:sz w:val="24"/>
          <w:szCs w:val="24"/>
        </w:rPr>
        <w:t>ζημ</w:t>
      </w:r>
      <w:r w:rsidR="00261E45">
        <w:rPr>
          <w:sz w:val="24"/>
          <w:szCs w:val="24"/>
        </w:rPr>
        <w:t>ίε</w:t>
      </w:r>
      <w:r w:rsidR="00261E45" w:rsidRPr="00A01605">
        <w:rPr>
          <w:sz w:val="24"/>
          <w:szCs w:val="24"/>
        </w:rPr>
        <w:t>ς</w:t>
      </w:r>
      <w:r w:rsidRPr="00A01605">
        <w:rPr>
          <w:sz w:val="24"/>
          <w:szCs w:val="24"/>
        </w:rPr>
        <w:t>,</w:t>
      </w:r>
      <w:r w:rsidR="0008588D" w:rsidRPr="00A01605">
        <w:rPr>
          <w:sz w:val="24"/>
          <w:szCs w:val="24"/>
        </w:rPr>
        <w:t xml:space="preserve"> έναντι</w:t>
      </w:r>
      <w:r w:rsidR="004047A2" w:rsidRPr="00A01605">
        <w:rPr>
          <w:sz w:val="24"/>
          <w:szCs w:val="24"/>
        </w:rPr>
        <w:t xml:space="preserve"> </w:t>
      </w:r>
      <w:r w:rsidR="00261E45" w:rsidRPr="00A01605">
        <w:rPr>
          <w:sz w:val="24"/>
          <w:szCs w:val="24"/>
        </w:rPr>
        <w:t xml:space="preserve"> </w:t>
      </w:r>
      <w:r w:rsidR="00EA30F5">
        <w:rPr>
          <w:sz w:val="24"/>
          <w:szCs w:val="24"/>
        </w:rPr>
        <w:t>4,1</w:t>
      </w:r>
      <w:r w:rsidR="004047A2" w:rsidRPr="00A01605">
        <w:rPr>
          <w:sz w:val="24"/>
          <w:szCs w:val="24"/>
        </w:rPr>
        <w:t xml:space="preserve">% </w:t>
      </w:r>
      <w:r w:rsidR="00261E45">
        <w:rPr>
          <w:sz w:val="24"/>
          <w:szCs w:val="24"/>
        </w:rPr>
        <w:t xml:space="preserve">μόλις </w:t>
      </w:r>
      <w:r w:rsidR="004047A2" w:rsidRPr="00A01605">
        <w:rPr>
          <w:sz w:val="24"/>
          <w:szCs w:val="24"/>
        </w:rPr>
        <w:t>των επιχειρήσεων με κύκλο εργασιών</w:t>
      </w:r>
      <w:r w:rsidR="0008588D" w:rsidRPr="00A01605">
        <w:rPr>
          <w:sz w:val="24"/>
          <w:szCs w:val="24"/>
        </w:rPr>
        <w:t xml:space="preserve"> </w:t>
      </w:r>
      <w:r w:rsidR="004047A2" w:rsidRPr="00A01605">
        <w:rPr>
          <w:sz w:val="24"/>
          <w:szCs w:val="24"/>
        </w:rPr>
        <w:t>άνω των</w:t>
      </w:r>
      <w:r w:rsidR="00DE77D0">
        <w:rPr>
          <w:sz w:val="24"/>
          <w:szCs w:val="24"/>
        </w:rPr>
        <w:t xml:space="preserve"> 300.000 €. </w:t>
      </w:r>
    </w:p>
    <w:p w14:paraId="7E5B71D4" w14:textId="3E9A84C4" w:rsidR="00EA30F5" w:rsidRPr="00033B51" w:rsidRDefault="00B03942" w:rsidP="00A01605">
      <w:pPr>
        <w:pStyle w:val="a3"/>
        <w:numPr>
          <w:ilvl w:val="0"/>
          <w:numId w:val="4"/>
        </w:numPr>
        <w:spacing w:after="0" w:line="360" w:lineRule="auto"/>
        <w:ind w:left="357"/>
        <w:jc w:val="both"/>
        <w:rPr>
          <w:rFonts w:ascii="Calibri" w:eastAsia="Calibri" w:hAnsi="Calibri" w:cs="Times New Roman"/>
          <w:b/>
          <w:sz w:val="24"/>
          <w:szCs w:val="24"/>
          <w:u w:val="single"/>
        </w:rPr>
      </w:pPr>
      <w:r w:rsidRPr="00033B51">
        <w:rPr>
          <w:rFonts w:ascii="Calibri" w:eastAsia="Calibri" w:hAnsi="Calibri" w:cs="Times New Roman"/>
          <w:b/>
          <w:sz w:val="24"/>
          <w:szCs w:val="24"/>
          <w:u w:val="single"/>
        </w:rPr>
        <w:t xml:space="preserve">Ζήτηση </w:t>
      </w:r>
      <w:r w:rsidR="001468D1" w:rsidRPr="00033B51">
        <w:rPr>
          <w:rFonts w:ascii="Calibri" w:eastAsia="Calibri" w:hAnsi="Calibri" w:cs="Times New Roman"/>
          <w:b/>
          <w:sz w:val="24"/>
          <w:szCs w:val="24"/>
          <w:u w:val="single"/>
        </w:rPr>
        <w:t>–</w:t>
      </w:r>
      <w:r w:rsidRPr="00033B51">
        <w:rPr>
          <w:rFonts w:ascii="Calibri" w:eastAsia="Calibri" w:hAnsi="Calibri" w:cs="Times New Roman"/>
          <w:b/>
          <w:sz w:val="24"/>
          <w:szCs w:val="24"/>
          <w:u w:val="single"/>
        </w:rPr>
        <w:t xml:space="preserve"> Παραγγελίες</w:t>
      </w:r>
      <w:r w:rsidR="001468D1" w:rsidRPr="00033B51">
        <w:rPr>
          <w:rFonts w:ascii="Calibri" w:eastAsia="Calibri" w:hAnsi="Calibri" w:cs="Times New Roman"/>
          <w:b/>
          <w:sz w:val="24"/>
          <w:szCs w:val="24"/>
          <w:u w:val="single"/>
        </w:rPr>
        <w:t xml:space="preserve"> </w:t>
      </w:r>
    </w:p>
    <w:p w14:paraId="38F1A433" w14:textId="708B3128" w:rsidR="00EA30F5" w:rsidRPr="00EA30F5" w:rsidRDefault="00EA30F5" w:rsidP="00EA30F5">
      <w:pPr>
        <w:spacing w:after="0" w:line="360" w:lineRule="auto"/>
        <w:jc w:val="both"/>
        <w:rPr>
          <w:rFonts w:ascii="Calibri" w:eastAsia="Calibri" w:hAnsi="Calibri" w:cs="Times New Roman"/>
          <w:sz w:val="24"/>
          <w:szCs w:val="24"/>
        </w:rPr>
      </w:pPr>
      <w:r w:rsidRPr="00EA30F5">
        <w:rPr>
          <w:rFonts w:ascii="Calibri" w:eastAsia="Calibri" w:hAnsi="Calibri" w:cs="Times New Roman"/>
          <w:sz w:val="24"/>
          <w:szCs w:val="24"/>
        </w:rPr>
        <w:t xml:space="preserve">Η ζήτηση παραμένει και το δεύτερο εξάμηνο του 2023 </w:t>
      </w:r>
      <w:r>
        <w:rPr>
          <w:rFonts w:ascii="Calibri" w:eastAsia="Calibri" w:hAnsi="Calibri" w:cs="Times New Roman"/>
          <w:sz w:val="24"/>
          <w:szCs w:val="24"/>
        </w:rPr>
        <w:t>στα ίδια επίπεδα με το πρώτο εξάμηνο του έτους</w:t>
      </w:r>
      <w:r w:rsidRPr="00EA30F5">
        <w:rPr>
          <w:rFonts w:ascii="Calibri" w:eastAsia="Calibri" w:hAnsi="Calibri" w:cs="Times New Roman"/>
          <w:sz w:val="24"/>
          <w:szCs w:val="24"/>
        </w:rPr>
        <w:t>. Ειδικότερα</w:t>
      </w:r>
      <w:r w:rsidR="00916F1F">
        <w:rPr>
          <w:rFonts w:ascii="Calibri" w:eastAsia="Calibri" w:hAnsi="Calibri" w:cs="Times New Roman"/>
          <w:sz w:val="24"/>
          <w:szCs w:val="24"/>
        </w:rPr>
        <w:t>,</w:t>
      </w:r>
      <w:r w:rsidRPr="00EA30F5">
        <w:rPr>
          <w:rFonts w:ascii="Calibri" w:eastAsia="Calibri" w:hAnsi="Calibri" w:cs="Times New Roman"/>
          <w:sz w:val="24"/>
          <w:szCs w:val="24"/>
        </w:rPr>
        <w:t xml:space="preserve"> για το δεύτερο εξάμηνο του 2023 το 29,3% των επιχειρήσεων δήλωσε ότι είχε αύξηση της ζήτησ</w:t>
      </w:r>
      <w:r w:rsidR="00916F1F">
        <w:rPr>
          <w:rFonts w:ascii="Calibri" w:eastAsia="Calibri" w:hAnsi="Calibri" w:cs="Times New Roman"/>
          <w:sz w:val="24"/>
          <w:szCs w:val="24"/>
        </w:rPr>
        <w:t>ή</w:t>
      </w:r>
      <w:r w:rsidRPr="00EA30F5">
        <w:rPr>
          <w:rFonts w:ascii="Calibri" w:eastAsia="Calibri" w:hAnsi="Calibri" w:cs="Times New Roman"/>
          <w:sz w:val="24"/>
          <w:szCs w:val="24"/>
        </w:rPr>
        <w:t>ς του</w:t>
      </w:r>
      <w:r w:rsidR="00916F1F">
        <w:rPr>
          <w:rFonts w:ascii="Calibri" w:eastAsia="Calibri" w:hAnsi="Calibri" w:cs="Times New Roman"/>
          <w:sz w:val="24"/>
          <w:szCs w:val="24"/>
        </w:rPr>
        <w:t>,</w:t>
      </w:r>
      <w:r w:rsidRPr="00EA30F5">
        <w:rPr>
          <w:rFonts w:ascii="Calibri" w:eastAsia="Calibri" w:hAnsi="Calibri" w:cs="Times New Roman"/>
          <w:sz w:val="24"/>
          <w:szCs w:val="24"/>
        </w:rPr>
        <w:t xml:space="preserve"> έναντι 33% που δήλωσε ότι είχε μείωση και 37,1% που δήλωσε ότι παρέμεινε </w:t>
      </w:r>
      <w:r>
        <w:rPr>
          <w:rFonts w:ascii="Calibri" w:eastAsia="Calibri" w:hAnsi="Calibri" w:cs="Times New Roman"/>
          <w:sz w:val="24"/>
          <w:szCs w:val="24"/>
        </w:rPr>
        <w:t>η ίδια</w:t>
      </w:r>
      <w:r w:rsidRPr="00EA30F5">
        <w:rPr>
          <w:rFonts w:ascii="Calibri" w:eastAsia="Calibri" w:hAnsi="Calibri" w:cs="Times New Roman"/>
          <w:sz w:val="24"/>
          <w:szCs w:val="24"/>
        </w:rPr>
        <w:t xml:space="preserve">. </w:t>
      </w:r>
    </w:p>
    <w:p w14:paraId="2934FEF6" w14:textId="72CC565F" w:rsidR="00EA30F5" w:rsidRPr="00EA30F5" w:rsidRDefault="00EA30F5" w:rsidP="00EA30F5">
      <w:pPr>
        <w:spacing w:line="360" w:lineRule="auto"/>
        <w:jc w:val="both"/>
        <w:rPr>
          <w:rFonts w:ascii="Calibri" w:eastAsia="Times New Roman" w:hAnsi="Calibri" w:cs="Times New Roman"/>
          <w:sz w:val="24"/>
          <w:szCs w:val="24"/>
        </w:rPr>
      </w:pPr>
      <w:r w:rsidRPr="00EA30F5">
        <w:rPr>
          <w:rFonts w:ascii="Calibri" w:eastAsia="Times New Roman" w:hAnsi="Calibri" w:cs="Times New Roman"/>
          <w:sz w:val="24"/>
          <w:szCs w:val="24"/>
        </w:rPr>
        <w:lastRenderedPageBreak/>
        <w:t>Ως προς την πορεία της ζήτησης, στον τομέα των υπηρεσιών εξακολουθούν να υπερισχύουν αριθμητικά</w:t>
      </w:r>
      <w:r w:rsidR="00EE3DCA">
        <w:rPr>
          <w:rFonts w:ascii="Calibri" w:eastAsia="Times New Roman" w:hAnsi="Calibri" w:cs="Times New Roman"/>
          <w:sz w:val="24"/>
          <w:szCs w:val="24"/>
        </w:rPr>
        <w:t xml:space="preserve"> </w:t>
      </w:r>
      <w:r w:rsidRPr="00EA30F5">
        <w:rPr>
          <w:rFonts w:ascii="Calibri" w:eastAsia="Times New Roman" w:hAnsi="Calibri" w:cs="Times New Roman"/>
          <w:sz w:val="24"/>
          <w:szCs w:val="24"/>
        </w:rPr>
        <w:t>οι επιχειρήσεις που δήλωσαν ότι είχαν αύξηση της ζήτησης (32,8%) έναντι όσων δήλωσαν μείωση της ζήτησης (28,3%). Στους τομείς της μεταποίησης και του εμπορίου</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αντίθετα, υπερισχύουν αριθμητικά οι επιχειρήσεις που δήλωσαν μείωση της ζήτησης (30,8% και 39,1%</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αντίστοιχα) σε σχέση με όσες δήλωσαν αύξηση της ζήτησης (28,1% και 26,5%</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αντίστοιχα). Το ενδιαφέρον εύρημα</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ωστόσο, είναι ότι για πρώτη φορά από το 2016 παρατηρείται επιδείνωση της συνολικής εικόνας στο δεύτερο εξάμηνο του έτους σε σχέση με το πρώτο.</w:t>
      </w:r>
    </w:p>
    <w:p w14:paraId="152AC7BB" w14:textId="77777777" w:rsidR="00EA30F5" w:rsidRDefault="00EA30F5" w:rsidP="00A01605">
      <w:pPr>
        <w:spacing w:after="0" w:line="360" w:lineRule="auto"/>
        <w:jc w:val="both"/>
        <w:rPr>
          <w:rFonts w:ascii="Calibri" w:eastAsia="Calibri" w:hAnsi="Calibri" w:cs="Times New Roman"/>
          <w:sz w:val="24"/>
          <w:szCs w:val="24"/>
        </w:rPr>
      </w:pPr>
    </w:p>
    <w:p w14:paraId="06793693" w14:textId="77777777" w:rsidR="00EA30F5" w:rsidRPr="00EA30F5" w:rsidRDefault="00EA30F5" w:rsidP="00EA30F5">
      <w:pPr>
        <w:jc w:val="both"/>
        <w:rPr>
          <w:rFonts w:ascii="Calibri" w:eastAsia="Times New Roman" w:hAnsi="Calibri" w:cs="Times New Roman"/>
        </w:rPr>
      </w:pPr>
      <w:r w:rsidRPr="00EA30F5">
        <w:rPr>
          <w:rFonts w:ascii="Calibri" w:eastAsia="Times New Roman" w:hAnsi="Calibri" w:cs="Times New Roman"/>
          <w:noProof/>
        </w:rPr>
        <w:drawing>
          <wp:inline distT="0" distB="0" distL="0" distR="0" wp14:anchorId="32FB95E5" wp14:editId="64DBC576">
            <wp:extent cx="6639339" cy="3999506"/>
            <wp:effectExtent l="0" t="0" r="9525" b="20320"/>
            <wp:docPr id="21"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2F494A" w14:textId="1BFEF57C" w:rsidR="00EA30F5" w:rsidRPr="00EA30F5" w:rsidRDefault="00EA30F5" w:rsidP="00EA30F5">
      <w:pPr>
        <w:spacing w:line="360" w:lineRule="auto"/>
        <w:jc w:val="both"/>
        <w:rPr>
          <w:rFonts w:ascii="Calibri" w:eastAsia="Times New Roman" w:hAnsi="Calibri" w:cs="Times New Roman"/>
          <w:sz w:val="24"/>
          <w:szCs w:val="24"/>
        </w:rPr>
      </w:pPr>
      <w:r w:rsidRPr="00EA30F5">
        <w:rPr>
          <w:rFonts w:ascii="Calibri" w:eastAsia="Times New Roman" w:hAnsi="Calibri" w:cs="Times New Roman"/>
          <w:sz w:val="24"/>
          <w:szCs w:val="24"/>
        </w:rPr>
        <w:t>Το μέγεθος των επιχειρήσεων έχει και εδώ ξεκάθαρη θετική σχέση</w:t>
      </w:r>
      <w:r w:rsidR="00916F1F">
        <w:rPr>
          <w:rFonts w:ascii="Calibri" w:eastAsia="Times New Roman" w:hAnsi="Calibri" w:cs="Times New Roman"/>
          <w:sz w:val="24"/>
          <w:szCs w:val="24"/>
        </w:rPr>
        <w:t xml:space="preserve"> με τη ζήτηση</w:t>
      </w:r>
      <w:r w:rsidRPr="00EA30F5">
        <w:rPr>
          <w:rFonts w:ascii="Calibri" w:eastAsia="Times New Roman" w:hAnsi="Calibri" w:cs="Times New Roman"/>
          <w:sz w:val="24"/>
          <w:szCs w:val="24"/>
        </w:rPr>
        <w:t>. Συγκεκριμένα</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το 36,1% </w:t>
      </w:r>
      <w:r w:rsidR="00916F1F">
        <w:rPr>
          <w:rFonts w:ascii="Calibri" w:eastAsia="Times New Roman" w:hAnsi="Calibri" w:cs="Times New Roman"/>
          <w:sz w:val="24"/>
          <w:szCs w:val="24"/>
        </w:rPr>
        <w:t xml:space="preserve">των </w:t>
      </w:r>
      <w:r w:rsidRPr="00EA30F5">
        <w:rPr>
          <w:rFonts w:ascii="Calibri" w:eastAsia="Times New Roman" w:hAnsi="Calibri" w:cs="Times New Roman"/>
          <w:sz w:val="24"/>
          <w:szCs w:val="24"/>
        </w:rPr>
        <w:t xml:space="preserve">επιχειρήσεων με κύκλο εργασιών άνω των 300.000 € και το 36,2% των επιχειρήσεων με κύκλο εργασιών μεταξύ 100.000 € </w:t>
      </w:r>
      <w:r w:rsidR="00916F1F">
        <w:rPr>
          <w:rFonts w:ascii="Calibri" w:eastAsia="Times New Roman" w:hAnsi="Calibri" w:cs="Times New Roman"/>
          <w:sz w:val="24"/>
          <w:szCs w:val="24"/>
        </w:rPr>
        <w:t>και</w:t>
      </w:r>
      <w:r w:rsidRPr="00EA30F5">
        <w:rPr>
          <w:rFonts w:ascii="Calibri" w:eastAsia="Times New Roman" w:hAnsi="Calibri" w:cs="Times New Roman"/>
          <w:sz w:val="24"/>
          <w:szCs w:val="24"/>
        </w:rPr>
        <w:t xml:space="preserve"> 300.000</w:t>
      </w:r>
      <w:r w:rsidR="00916F1F">
        <w:rPr>
          <w:rFonts w:ascii="Calibri" w:eastAsia="Times New Roman" w:hAnsi="Calibri" w:cs="Times New Roman"/>
          <w:sz w:val="24"/>
          <w:szCs w:val="24"/>
        </w:rPr>
        <w:t xml:space="preserve"> </w:t>
      </w:r>
      <w:r w:rsidRPr="00EA30F5">
        <w:rPr>
          <w:rFonts w:ascii="Calibri" w:eastAsia="Times New Roman" w:hAnsi="Calibri" w:cs="Times New Roman"/>
          <w:sz w:val="24"/>
          <w:szCs w:val="24"/>
        </w:rPr>
        <w:t>€</w:t>
      </w:r>
      <w:r w:rsidR="00EE3DCA">
        <w:rPr>
          <w:rFonts w:ascii="Calibri" w:eastAsia="Times New Roman" w:hAnsi="Calibri" w:cs="Times New Roman"/>
          <w:sz w:val="24"/>
          <w:szCs w:val="24"/>
        </w:rPr>
        <w:t xml:space="preserve"> </w:t>
      </w:r>
      <w:r w:rsidRPr="00EA30F5">
        <w:rPr>
          <w:rFonts w:ascii="Calibri" w:eastAsia="Times New Roman" w:hAnsi="Calibri" w:cs="Times New Roman"/>
          <w:sz w:val="24"/>
          <w:szCs w:val="24"/>
        </w:rPr>
        <w:t>δήλωσε αύξηση της ζήτησης</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έναντι 23,8% και 31,5%</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αντίστοιχα</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που δήλωσε μείωση. Στις επιχειρήσεις με ετήσιο κύκλο εργασιών μεταξύ 50.000€ </w:t>
      </w:r>
      <w:r w:rsidR="00916F1F">
        <w:rPr>
          <w:rFonts w:ascii="Calibri" w:eastAsia="Times New Roman" w:hAnsi="Calibri" w:cs="Times New Roman"/>
          <w:sz w:val="24"/>
          <w:szCs w:val="24"/>
        </w:rPr>
        <w:t>και</w:t>
      </w:r>
      <w:r w:rsidRPr="00EA30F5">
        <w:rPr>
          <w:rFonts w:ascii="Calibri" w:eastAsia="Times New Roman" w:hAnsi="Calibri" w:cs="Times New Roman"/>
          <w:sz w:val="24"/>
          <w:szCs w:val="24"/>
        </w:rPr>
        <w:t xml:space="preserve"> 100.000€</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και μικρότερο των 50.000</w:t>
      </w:r>
      <w:r w:rsidR="00916F1F">
        <w:rPr>
          <w:rFonts w:ascii="Calibri" w:eastAsia="Times New Roman" w:hAnsi="Calibri" w:cs="Times New Roman"/>
          <w:sz w:val="24"/>
          <w:szCs w:val="24"/>
        </w:rPr>
        <w:t xml:space="preserve"> </w:t>
      </w:r>
      <w:r w:rsidRPr="00EA30F5">
        <w:rPr>
          <w:rFonts w:ascii="Calibri" w:eastAsia="Times New Roman" w:hAnsi="Calibri" w:cs="Times New Roman"/>
          <w:sz w:val="24"/>
          <w:szCs w:val="24"/>
        </w:rPr>
        <w:t>€ το πρόσημο της σχέσης αύξησης</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μείωσης της ζήτησης αντιστρέφεται και γίνεται αρνητικό</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καθώς το 25% και το 23,8%</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αντίστοιχα</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αυτών των επιχειρήσεων δήλωσαν αύξηση της ζήτησης</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ενώ 38,4% και 38,3%</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αντίστοιχα</w:t>
      </w:r>
      <w:r w:rsidR="00916F1F">
        <w:rPr>
          <w:rFonts w:ascii="Calibri" w:eastAsia="Times New Roman" w:hAnsi="Calibri" w:cs="Times New Roman"/>
          <w:sz w:val="24"/>
          <w:szCs w:val="24"/>
        </w:rPr>
        <w:t>,</w:t>
      </w:r>
      <w:r w:rsidRPr="00EA30F5">
        <w:rPr>
          <w:rFonts w:ascii="Calibri" w:eastAsia="Times New Roman" w:hAnsi="Calibri" w:cs="Times New Roman"/>
          <w:sz w:val="24"/>
          <w:szCs w:val="24"/>
        </w:rPr>
        <w:t xml:space="preserve"> δήλωσαν μείωση της ζήτησης. </w:t>
      </w:r>
    </w:p>
    <w:p w14:paraId="781B9C4F" w14:textId="4118A455" w:rsidR="00EA30F5" w:rsidRPr="00EA30F5" w:rsidRDefault="00EA30F5" w:rsidP="00EA30F5">
      <w:pPr>
        <w:spacing w:line="360" w:lineRule="auto"/>
        <w:jc w:val="both"/>
        <w:rPr>
          <w:rFonts w:ascii="Calibri" w:eastAsia="Times New Roman" w:hAnsi="Calibri" w:cs="Times New Roman"/>
          <w:sz w:val="24"/>
          <w:szCs w:val="24"/>
        </w:rPr>
      </w:pPr>
      <w:r w:rsidRPr="00EA30F5">
        <w:rPr>
          <w:rFonts w:ascii="Calibri" w:eastAsia="Times New Roman" w:hAnsi="Calibri" w:cs="Times New Roman"/>
          <w:sz w:val="24"/>
          <w:szCs w:val="24"/>
        </w:rPr>
        <w:lastRenderedPageBreak/>
        <w:t>Όσον αφορά τις παραγγελίες των επιχειρήσεων προς τους προμηθευτές τους, όπως είναι αναμενόμενο</w:t>
      </w:r>
      <w:r w:rsidR="00016444">
        <w:rPr>
          <w:rFonts w:ascii="Calibri" w:eastAsia="Times New Roman" w:hAnsi="Calibri" w:cs="Times New Roman"/>
          <w:sz w:val="24"/>
          <w:szCs w:val="24"/>
        </w:rPr>
        <w:t>,</w:t>
      </w:r>
      <w:r w:rsidRPr="00EA30F5">
        <w:rPr>
          <w:rFonts w:ascii="Calibri" w:eastAsia="Times New Roman" w:hAnsi="Calibri" w:cs="Times New Roman"/>
          <w:sz w:val="24"/>
          <w:szCs w:val="24"/>
        </w:rPr>
        <w:t xml:space="preserve"> η τάση ακολουθεί τις τάσεις του κύκλου εργασιών και της ζήτησης. Συγκεκριμένα</w:t>
      </w:r>
      <w:r w:rsidR="00016444">
        <w:rPr>
          <w:rFonts w:ascii="Calibri" w:eastAsia="Times New Roman" w:hAnsi="Calibri" w:cs="Times New Roman"/>
          <w:sz w:val="24"/>
          <w:szCs w:val="24"/>
        </w:rPr>
        <w:t>,</w:t>
      </w:r>
      <w:r w:rsidRPr="00EA30F5">
        <w:rPr>
          <w:rFonts w:ascii="Calibri" w:eastAsia="Times New Roman" w:hAnsi="Calibri" w:cs="Times New Roman"/>
          <w:sz w:val="24"/>
          <w:szCs w:val="24"/>
        </w:rPr>
        <w:t xml:space="preserve"> για το δεύτερο εξάμηνο του 2023 είχαμε αύξηση των παραγγελιών για το 25,3% των επιχειρήσεων και μείωση των παραγγελιών για το 37,2%, με την απεικόνιση σε σχέση με το πρώτο εξάμηνο να είναι αρνητική σε αντίθεση με ό</w:t>
      </w:r>
      <w:r w:rsidR="00016444">
        <w:rPr>
          <w:rFonts w:ascii="Calibri" w:eastAsia="Times New Roman" w:hAnsi="Calibri" w:cs="Times New Roman"/>
          <w:sz w:val="24"/>
          <w:szCs w:val="24"/>
        </w:rPr>
        <w:t>,</w:t>
      </w:r>
      <w:r w:rsidRPr="00EA30F5">
        <w:rPr>
          <w:rFonts w:ascii="Calibri" w:eastAsia="Times New Roman" w:hAnsi="Calibri" w:cs="Times New Roman"/>
          <w:sz w:val="24"/>
          <w:szCs w:val="24"/>
        </w:rPr>
        <w:t xml:space="preserve">τι συνέβαινε τα προηγούμενα χρόνια. </w:t>
      </w:r>
    </w:p>
    <w:p w14:paraId="56486946" w14:textId="77777777" w:rsidR="00EA30F5" w:rsidRPr="00EA30F5" w:rsidRDefault="00EA30F5" w:rsidP="00EA30F5">
      <w:pPr>
        <w:spacing w:after="0" w:line="360" w:lineRule="auto"/>
        <w:jc w:val="both"/>
        <w:rPr>
          <w:rFonts w:ascii="Calibri" w:eastAsia="Calibri" w:hAnsi="Calibri" w:cs="Times New Roman"/>
          <w:sz w:val="24"/>
          <w:szCs w:val="24"/>
          <w:highlight w:val="yellow"/>
        </w:rPr>
      </w:pPr>
      <w:r w:rsidRPr="00EA30F5">
        <w:rPr>
          <w:rFonts w:ascii="Calibri" w:eastAsia="Times New Roman" w:hAnsi="Calibri" w:cs="Times New Roman"/>
          <w:noProof/>
        </w:rPr>
        <w:drawing>
          <wp:inline distT="0" distB="0" distL="0" distR="0" wp14:anchorId="6A9486A7" wp14:editId="6EF9CCF6">
            <wp:extent cx="6504167" cy="4309607"/>
            <wp:effectExtent l="0" t="0" r="11430" b="15240"/>
            <wp:docPr id="22"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DFF202" w14:textId="77777777" w:rsidR="00C60420" w:rsidRPr="006F0645" w:rsidRDefault="00C60420" w:rsidP="00700BFC">
      <w:pPr>
        <w:spacing w:after="160" w:line="360" w:lineRule="auto"/>
        <w:jc w:val="both"/>
        <w:rPr>
          <w:rFonts w:ascii="Calibri" w:eastAsia="Calibri" w:hAnsi="Calibri" w:cs="Times New Roman"/>
        </w:rPr>
      </w:pPr>
    </w:p>
    <w:p w14:paraId="0038F96D" w14:textId="4B7BCB5D" w:rsidR="00CA5A18" w:rsidRPr="00DE77D0" w:rsidRDefault="00875508" w:rsidP="0008588D">
      <w:pPr>
        <w:pStyle w:val="a3"/>
        <w:numPr>
          <w:ilvl w:val="0"/>
          <w:numId w:val="4"/>
        </w:numPr>
        <w:spacing w:after="0" w:line="360" w:lineRule="auto"/>
        <w:jc w:val="both"/>
        <w:rPr>
          <w:rFonts w:ascii="Calibri" w:eastAsia="Calibri" w:hAnsi="Calibri" w:cs="Times New Roman"/>
          <w:b/>
          <w:sz w:val="24"/>
          <w:szCs w:val="24"/>
          <w:u w:val="single"/>
        </w:rPr>
      </w:pPr>
      <w:r w:rsidRPr="0071365A">
        <w:rPr>
          <w:rFonts w:ascii="Calibri" w:eastAsia="Calibri" w:hAnsi="Calibri" w:cs="Times New Roman"/>
          <w:b/>
          <w:sz w:val="24"/>
          <w:szCs w:val="24"/>
          <w:u w:val="single"/>
        </w:rPr>
        <w:t xml:space="preserve">Ρευστότητα </w:t>
      </w:r>
    </w:p>
    <w:p w14:paraId="2E70D272" w14:textId="1DD84D5A" w:rsidR="00CA5A18" w:rsidRPr="00CA5A18" w:rsidRDefault="00CA5A18" w:rsidP="00CA5A18">
      <w:pPr>
        <w:spacing w:after="0" w:line="360" w:lineRule="auto"/>
        <w:jc w:val="both"/>
        <w:rPr>
          <w:rFonts w:ascii="Calibri" w:eastAsia="Calibri" w:hAnsi="Calibri" w:cs="Times New Roman"/>
          <w:sz w:val="24"/>
          <w:szCs w:val="24"/>
        </w:rPr>
      </w:pPr>
      <w:r w:rsidRPr="00CA5A18">
        <w:rPr>
          <w:rFonts w:ascii="Calibri" w:eastAsia="Calibri" w:hAnsi="Calibri" w:cs="Times New Roman"/>
          <w:sz w:val="24"/>
          <w:szCs w:val="24"/>
        </w:rPr>
        <w:t>Σε ό</w:t>
      </w:r>
      <w:r w:rsidR="00016444">
        <w:rPr>
          <w:rFonts w:ascii="Calibri" w:eastAsia="Calibri" w:hAnsi="Calibri" w:cs="Times New Roman"/>
          <w:sz w:val="24"/>
          <w:szCs w:val="24"/>
        </w:rPr>
        <w:t>,</w:t>
      </w:r>
      <w:r w:rsidRPr="00CA5A18">
        <w:rPr>
          <w:rFonts w:ascii="Calibri" w:eastAsia="Calibri" w:hAnsi="Calibri" w:cs="Times New Roman"/>
          <w:sz w:val="24"/>
          <w:szCs w:val="24"/>
        </w:rPr>
        <w:t>τι αφορά τη ρευστότητα,</w:t>
      </w:r>
      <w:r>
        <w:rPr>
          <w:rFonts w:ascii="Calibri" w:eastAsia="Calibri" w:hAnsi="Calibri" w:cs="Times New Roman"/>
          <w:sz w:val="24"/>
          <w:szCs w:val="24"/>
        </w:rPr>
        <w:t xml:space="preserve"> παρατηρείται</w:t>
      </w:r>
      <w:r w:rsidRPr="00CA5A18">
        <w:rPr>
          <w:rFonts w:ascii="Calibri" w:eastAsia="Calibri" w:hAnsi="Calibri" w:cs="Times New Roman"/>
          <w:sz w:val="24"/>
          <w:szCs w:val="24"/>
        </w:rPr>
        <w:t xml:space="preserve"> η ίδια αντίστροφη σχέση πρώτου και δεύτερου εξαμήνου συγκριτικά με τα προηγούμενα χρόνια, με το δεύτερο εξάμηνο να υπολείπεται των αποτελεσμάτων του πρώτου εξαμήνου</w:t>
      </w:r>
      <w:r w:rsidR="00016444">
        <w:rPr>
          <w:rFonts w:ascii="Calibri" w:eastAsia="Calibri" w:hAnsi="Calibri" w:cs="Times New Roman"/>
          <w:sz w:val="24"/>
          <w:szCs w:val="24"/>
        </w:rPr>
        <w:t>,</w:t>
      </w:r>
      <w:r w:rsidRPr="00CA5A18">
        <w:rPr>
          <w:rFonts w:ascii="Calibri" w:eastAsia="Calibri" w:hAnsi="Calibri" w:cs="Times New Roman"/>
          <w:sz w:val="24"/>
          <w:szCs w:val="24"/>
        </w:rPr>
        <w:t xml:space="preserve"> παρά το γεγονός ότι λόγω της επίδρασης του τουρισμού το δεύτερο εξάμηνο είναι παραδοσιακά καλύτερο. Συγκεκριμένα</w:t>
      </w:r>
      <w:r w:rsidR="00016444">
        <w:rPr>
          <w:rFonts w:ascii="Calibri" w:eastAsia="Calibri" w:hAnsi="Calibri" w:cs="Times New Roman"/>
          <w:sz w:val="24"/>
          <w:szCs w:val="24"/>
        </w:rPr>
        <w:t>,</w:t>
      </w:r>
      <w:r w:rsidRPr="00CA5A18">
        <w:rPr>
          <w:rFonts w:ascii="Calibri" w:eastAsia="Calibri" w:hAnsi="Calibri" w:cs="Times New Roman"/>
          <w:sz w:val="24"/>
          <w:szCs w:val="24"/>
        </w:rPr>
        <w:t xml:space="preserve"> τ</w:t>
      </w:r>
      <w:r>
        <w:rPr>
          <w:rFonts w:ascii="Calibri" w:eastAsia="Calibri" w:hAnsi="Calibri" w:cs="Times New Roman"/>
          <w:sz w:val="24"/>
          <w:szCs w:val="24"/>
        </w:rPr>
        <w:t>ο 21,5% των επιχειρήσεων δήλωσε</w:t>
      </w:r>
      <w:r w:rsidRPr="00CA5A18">
        <w:rPr>
          <w:rFonts w:ascii="Calibri" w:eastAsia="Calibri" w:hAnsi="Calibri" w:cs="Times New Roman"/>
          <w:sz w:val="24"/>
          <w:szCs w:val="24"/>
        </w:rPr>
        <w:t xml:space="preserve"> αύξηση ρευστότητας</w:t>
      </w:r>
      <w:r>
        <w:rPr>
          <w:rFonts w:ascii="Calibri" w:eastAsia="Calibri" w:hAnsi="Calibri" w:cs="Times New Roman"/>
          <w:sz w:val="24"/>
          <w:szCs w:val="24"/>
        </w:rPr>
        <w:t>, ενώ το 42,4% μείωση. Τέλος, όπως φαίνεται και από το ποσοστό των επιχειρήσεων που δήλωσ</w:t>
      </w:r>
      <w:r w:rsidR="00016444">
        <w:rPr>
          <w:rFonts w:ascii="Calibri" w:eastAsia="Calibri" w:hAnsi="Calibri" w:cs="Times New Roman"/>
          <w:sz w:val="24"/>
          <w:szCs w:val="24"/>
        </w:rPr>
        <w:t>ε</w:t>
      </w:r>
      <w:r>
        <w:rPr>
          <w:rFonts w:ascii="Calibri" w:eastAsia="Calibri" w:hAnsi="Calibri" w:cs="Times New Roman"/>
          <w:sz w:val="24"/>
          <w:szCs w:val="24"/>
        </w:rPr>
        <w:t xml:space="preserve"> μείωση της ρευστότητας, η έλλειψη ρευστότητας παραμένει ένα από τα σημαντικότερα προβλήματα που αντιμετωπίζουν οι μικρές και πολύ μικρές επιχειρήσεις και συνδέεται και με τις δυσκολίες που διαχρονικά </w:t>
      </w:r>
      <w:r>
        <w:rPr>
          <w:rFonts w:ascii="Calibri" w:eastAsia="Calibri" w:hAnsi="Calibri" w:cs="Times New Roman"/>
          <w:sz w:val="24"/>
          <w:szCs w:val="24"/>
        </w:rPr>
        <w:lastRenderedPageBreak/>
        <w:t>υφίστανται ως προς την πρόσβασ</w:t>
      </w:r>
      <w:r w:rsidR="00016444">
        <w:rPr>
          <w:rFonts w:ascii="Calibri" w:eastAsia="Calibri" w:hAnsi="Calibri" w:cs="Times New Roman"/>
          <w:sz w:val="24"/>
          <w:szCs w:val="24"/>
        </w:rPr>
        <w:t>ή</w:t>
      </w:r>
      <w:r>
        <w:rPr>
          <w:rFonts w:ascii="Calibri" w:eastAsia="Calibri" w:hAnsi="Calibri" w:cs="Times New Roman"/>
          <w:sz w:val="24"/>
          <w:szCs w:val="24"/>
        </w:rPr>
        <w:t xml:space="preserve"> του</w:t>
      </w:r>
      <w:r w:rsidR="00016444">
        <w:rPr>
          <w:rFonts w:ascii="Calibri" w:eastAsia="Calibri" w:hAnsi="Calibri" w:cs="Times New Roman"/>
          <w:sz w:val="24"/>
          <w:szCs w:val="24"/>
        </w:rPr>
        <w:t>ς</w:t>
      </w:r>
      <w:r>
        <w:rPr>
          <w:rFonts w:ascii="Calibri" w:eastAsia="Calibri" w:hAnsi="Calibri" w:cs="Times New Roman"/>
          <w:sz w:val="24"/>
          <w:szCs w:val="24"/>
        </w:rPr>
        <w:t xml:space="preserve"> σε χρηματοδότηση είτε για κεφάλαια κίνησης, είτε για επενδύσεις. </w:t>
      </w:r>
    </w:p>
    <w:p w14:paraId="4D480353" w14:textId="020FF90D" w:rsidR="00CA5A18" w:rsidRDefault="00CA5A18" w:rsidP="0008588D">
      <w:pPr>
        <w:spacing w:after="0" w:line="360" w:lineRule="auto"/>
        <w:jc w:val="both"/>
        <w:rPr>
          <w:rFonts w:ascii="Calibri" w:eastAsia="Calibri" w:hAnsi="Calibri" w:cs="Times New Roman"/>
          <w:sz w:val="24"/>
          <w:szCs w:val="24"/>
        </w:rPr>
      </w:pPr>
      <w:r w:rsidRPr="00CA5A18">
        <w:rPr>
          <w:rFonts w:ascii="Calibri" w:eastAsia="Times New Roman" w:hAnsi="Calibri" w:cs="Times New Roman"/>
          <w:noProof/>
        </w:rPr>
        <w:drawing>
          <wp:inline distT="0" distB="0" distL="0" distR="0" wp14:anchorId="6D7F37BF" wp14:editId="1E1761CF">
            <wp:extent cx="6424654" cy="3935896"/>
            <wp:effectExtent l="0" t="0" r="14605" b="26670"/>
            <wp:docPr id="23"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B45587" w14:textId="77777777" w:rsidR="00CA5A18" w:rsidRDefault="00CA5A18" w:rsidP="0008588D">
      <w:pPr>
        <w:spacing w:after="0" w:line="360" w:lineRule="auto"/>
        <w:jc w:val="both"/>
        <w:rPr>
          <w:rFonts w:ascii="Calibri" w:eastAsia="Calibri" w:hAnsi="Calibri" w:cs="Times New Roman"/>
          <w:sz w:val="24"/>
          <w:szCs w:val="24"/>
        </w:rPr>
      </w:pPr>
    </w:p>
    <w:p w14:paraId="42F9B1F2" w14:textId="77777777" w:rsidR="0008588D" w:rsidRPr="00CB36E2" w:rsidRDefault="0008588D" w:rsidP="0008588D">
      <w:pPr>
        <w:spacing w:after="0" w:line="360" w:lineRule="auto"/>
        <w:jc w:val="both"/>
        <w:rPr>
          <w:rFonts w:ascii="Calibri" w:eastAsia="Calibri" w:hAnsi="Calibri" w:cs="Times New Roman"/>
          <w:b/>
          <w:sz w:val="24"/>
          <w:szCs w:val="24"/>
        </w:rPr>
      </w:pPr>
      <w:r w:rsidRPr="00CB36E2">
        <w:rPr>
          <w:rFonts w:ascii="Calibri" w:eastAsia="Calibri" w:hAnsi="Calibri" w:cs="Times New Roman"/>
          <w:b/>
          <w:sz w:val="24"/>
          <w:szCs w:val="24"/>
        </w:rPr>
        <w:t>Ταμειακά διαθέσιμα</w:t>
      </w:r>
    </w:p>
    <w:p w14:paraId="0FC4CB2A" w14:textId="6D846CB3" w:rsidR="00961715" w:rsidRPr="00961715" w:rsidRDefault="00961715" w:rsidP="00961715">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Το πρόβλημα ρευστότητας που αντιμετωπίζει ένας αρκετά μεγάλος αριθμός μικρών και πολύ μικρών επιχειρήσεων φαίνεται από τα ρευστά διαθέσιμ</w:t>
      </w:r>
      <w:r w:rsidR="00016444">
        <w:rPr>
          <w:rFonts w:ascii="Calibri" w:eastAsia="Calibri" w:hAnsi="Calibri" w:cs="Times New Roman"/>
          <w:sz w:val="24"/>
          <w:szCs w:val="24"/>
        </w:rPr>
        <w:t>ά</w:t>
      </w:r>
      <w:r>
        <w:rPr>
          <w:rFonts w:ascii="Calibri" w:eastAsia="Calibri" w:hAnsi="Calibri" w:cs="Times New Roman"/>
          <w:sz w:val="24"/>
          <w:szCs w:val="24"/>
        </w:rPr>
        <w:t xml:space="preserve"> τους. Συγκεκριμένα</w:t>
      </w:r>
      <w:r w:rsidR="00016444">
        <w:rPr>
          <w:rFonts w:ascii="Calibri" w:eastAsia="Calibri" w:hAnsi="Calibri" w:cs="Times New Roman"/>
          <w:sz w:val="24"/>
          <w:szCs w:val="24"/>
        </w:rPr>
        <w:t>,</w:t>
      </w:r>
      <w:r>
        <w:rPr>
          <w:rFonts w:ascii="Calibri" w:eastAsia="Calibri" w:hAnsi="Calibri" w:cs="Times New Roman"/>
          <w:sz w:val="24"/>
          <w:szCs w:val="24"/>
        </w:rPr>
        <w:t xml:space="preserve"> </w:t>
      </w:r>
      <w:r w:rsidRPr="00961715">
        <w:rPr>
          <w:rFonts w:ascii="Calibri" w:eastAsia="Calibri" w:hAnsi="Calibri" w:cs="Times New Roman"/>
          <w:sz w:val="24"/>
          <w:szCs w:val="24"/>
        </w:rPr>
        <w:t xml:space="preserve">περισσότερες από τις μισές επιχειρήσεις δεν </w:t>
      </w:r>
      <w:r w:rsidR="00D6170C">
        <w:rPr>
          <w:rFonts w:ascii="Calibri" w:eastAsia="Calibri" w:hAnsi="Calibri" w:cs="Times New Roman"/>
          <w:sz w:val="24"/>
          <w:szCs w:val="24"/>
        </w:rPr>
        <w:t>έχουν</w:t>
      </w:r>
      <w:r w:rsidR="00D6170C" w:rsidRPr="00961715">
        <w:rPr>
          <w:rFonts w:ascii="Calibri" w:eastAsia="Calibri" w:hAnsi="Calibri" w:cs="Times New Roman"/>
          <w:sz w:val="24"/>
          <w:szCs w:val="24"/>
        </w:rPr>
        <w:t xml:space="preserve"> </w:t>
      </w:r>
      <w:r w:rsidRPr="00961715">
        <w:rPr>
          <w:rFonts w:ascii="Calibri" w:eastAsia="Calibri" w:hAnsi="Calibri" w:cs="Times New Roman"/>
          <w:sz w:val="24"/>
          <w:szCs w:val="24"/>
        </w:rPr>
        <w:t xml:space="preserve">(25,5%) ή </w:t>
      </w:r>
      <w:r w:rsidR="00D6170C">
        <w:rPr>
          <w:rFonts w:ascii="Calibri" w:eastAsia="Calibri" w:hAnsi="Calibri" w:cs="Times New Roman"/>
          <w:sz w:val="24"/>
          <w:szCs w:val="24"/>
        </w:rPr>
        <w:t>έχουν</w:t>
      </w:r>
      <w:r w:rsidRPr="00961715">
        <w:rPr>
          <w:rFonts w:ascii="Calibri" w:eastAsia="Calibri" w:hAnsi="Calibri" w:cs="Times New Roman"/>
          <w:sz w:val="24"/>
          <w:szCs w:val="24"/>
        </w:rPr>
        <w:t xml:space="preserve"> το πολύ για ένα μήνα (25,1%) ταμειακά διαθέσιμα. </w:t>
      </w:r>
    </w:p>
    <w:p w14:paraId="0BB2D4D1" w14:textId="7F65B752" w:rsidR="00961715" w:rsidRPr="00961715"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t xml:space="preserve">Η ταμειακή ανθεκτικότητα των επιχειρήσεων είναι συνυφασμένη με το μέγεθός </w:t>
      </w:r>
      <w:r w:rsidR="00D6170C">
        <w:rPr>
          <w:rFonts w:ascii="Calibri" w:eastAsia="Calibri" w:hAnsi="Calibri" w:cs="Times New Roman"/>
          <w:sz w:val="24"/>
          <w:szCs w:val="24"/>
        </w:rPr>
        <w:t>τους,</w:t>
      </w:r>
      <w:r w:rsidRPr="00961715">
        <w:rPr>
          <w:rFonts w:ascii="Calibri" w:eastAsia="Calibri" w:hAnsi="Calibri" w:cs="Times New Roman"/>
          <w:sz w:val="24"/>
          <w:szCs w:val="24"/>
        </w:rPr>
        <w:t xml:space="preserve"> καθώς οι μικρότερες επιχειρήσεις εμφανίζουν σημαντικά μεγαλύτερη έλλειψη ρευστών διαθ</w:t>
      </w:r>
      <w:r w:rsidR="00D6170C">
        <w:rPr>
          <w:rFonts w:ascii="Calibri" w:eastAsia="Calibri" w:hAnsi="Calibri" w:cs="Times New Roman"/>
          <w:sz w:val="24"/>
          <w:szCs w:val="24"/>
        </w:rPr>
        <w:t>έ</w:t>
      </w:r>
      <w:r w:rsidRPr="00961715">
        <w:rPr>
          <w:rFonts w:ascii="Calibri" w:eastAsia="Calibri" w:hAnsi="Calibri" w:cs="Times New Roman"/>
          <w:sz w:val="24"/>
          <w:szCs w:val="24"/>
        </w:rPr>
        <w:t>σ</w:t>
      </w:r>
      <w:r w:rsidR="00D6170C">
        <w:rPr>
          <w:rFonts w:ascii="Calibri" w:eastAsia="Calibri" w:hAnsi="Calibri" w:cs="Times New Roman"/>
          <w:sz w:val="24"/>
          <w:szCs w:val="24"/>
        </w:rPr>
        <w:t>ι</w:t>
      </w:r>
      <w:r w:rsidRPr="00961715">
        <w:rPr>
          <w:rFonts w:ascii="Calibri" w:eastAsia="Calibri" w:hAnsi="Calibri" w:cs="Times New Roman"/>
          <w:sz w:val="24"/>
          <w:szCs w:val="24"/>
        </w:rPr>
        <w:t xml:space="preserve">μων από </w:t>
      </w:r>
      <w:proofErr w:type="spellStart"/>
      <w:r w:rsidR="00D6170C">
        <w:rPr>
          <w:rFonts w:ascii="Calibri" w:eastAsia="Calibri" w:hAnsi="Calibri" w:cs="Times New Roman"/>
          <w:sz w:val="24"/>
          <w:szCs w:val="24"/>
        </w:rPr>
        <w:t>ό,τι</w:t>
      </w:r>
      <w:proofErr w:type="spellEnd"/>
      <w:r w:rsidR="00D6170C">
        <w:rPr>
          <w:rFonts w:ascii="Calibri" w:eastAsia="Calibri" w:hAnsi="Calibri" w:cs="Times New Roman"/>
          <w:sz w:val="24"/>
          <w:szCs w:val="24"/>
        </w:rPr>
        <w:t xml:space="preserve"> οι</w:t>
      </w:r>
      <w:r w:rsidRPr="00961715">
        <w:rPr>
          <w:rFonts w:ascii="Calibri" w:eastAsia="Calibri" w:hAnsi="Calibri" w:cs="Times New Roman"/>
          <w:sz w:val="24"/>
          <w:szCs w:val="24"/>
        </w:rPr>
        <w:t xml:space="preserve"> μεγαλύτερες. Συγκεκριμένα, το 40% των επιχειρήσεων με κύκλο εργασιών έως 50.000 € δήλωσαν ότι δεν έχουν καθόλου ταμειακά διαθέσιμα</w:t>
      </w:r>
      <w:r w:rsidR="00D6170C">
        <w:rPr>
          <w:rFonts w:ascii="Calibri" w:eastAsia="Calibri" w:hAnsi="Calibri" w:cs="Times New Roman"/>
          <w:sz w:val="24"/>
          <w:szCs w:val="24"/>
        </w:rPr>
        <w:t>,</w:t>
      </w:r>
      <w:r w:rsidRPr="00961715">
        <w:rPr>
          <w:rFonts w:ascii="Calibri" w:eastAsia="Calibri" w:hAnsi="Calibri" w:cs="Times New Roman"/>
          <w:sz w:val="24"/>
          <w:szCs w:val="24"/>
        </w:rPr>
        <w:t xml:space="preserve"> ενώ το ποσοστό αυτό πέφτει όσο ανεβαίνουμε κλίμακα μεγέθους και φτάνει μόλις </w:t>
      </w:r>
      <w:r w:rsidR="00D6170C">
        <w:rPr>
          <w:rFonts w:ascii="Calibri" w:eastAsia="Calibri" w:hAnsi="Calibri" w:cs="Times New Roman"/>
          <w:sz w:val="24"/>
          <w:szCs w:val="24"/>
        </w:rPr>
        <w:t>σ</w:t>
      </w:r>
      <w:r w:rsidRPr="00961715">
        <w:rPr>
          <w:rFonts w:ascii="Calibri" w:eastAsia="Calibri" w:hAnsi="Calibri" w:cs="Times New Roman"/>
          <w:sz w:val="24"/>
          <w:szCs w:val="24"/>
        </w:rPr>
        <w:t>το 8,2% των επιχειρήσεων με κύκλο εργασιών άνω των 300.000 €. Το ακριβώς αντίστροφο παρατηρούμε όσον αφορά τις επιχειρήσεις που έχουν μεγάλη επάρκεια ταμειακών διαθ</w:t>
      </w:r>
      <w:r w:rsidR="00D6170C">
        <w:rPr>
          <w:rFonts w:ascii="Calibri" w:eastAsia="Calibri" w:hAnsi="Calibri" w:cs="Times New Roman"/>
          <w:sz w:val="24"/>
          <w:szCs w:val="24"/>
        </w:rPr>
        <w:t>έ</w:t>
      </w:r>
      <w:r w:rsidRPr="00961715">
        <w:rPr>
          <w:rFonts w:ascii="Calibri" w:eastAsia="Calibri" w:hAnsi="Calibri" w:cs="Times New Roman"/>
          <w:sz w:val="24"/>
          <w:szCs w:val="24"/>
        </w:rPr>
        <w:t>σ</w:t>
      </w:r>
      <w:r w:rsidR="00D6170C">
        <w:rPr>
          <w:rFonts w:ascii="Calibri" w:eastAsia="Calibri" w:hAnsi="Calibri" w:cs="Times New Roman"/>
          <w:sz w:val="24"/>
          <w:szCs w:val="24"/>
        </w:rPr>
        <w:t>ι</w:t>
      </w:r>
      <w:r w:rsidRPr="00961715">
        <w:rPr>
          <w:rFonts w:ascii="Calibri" w:eastAsia="Calibri" w:hAnsi="Calibri" w:cs="Times New Roman"/>
          <w:sz w:val="24"/>
          <w:szCs w:val="24"/>
        </w:rPr>
        <w:t>μων. Συγκεκριμένα</w:t>
      </w:r>
      <w:r w:rsidR="00D6170C">
        <w:rPr>
          <w:rFonts w:ascii="Calibri" w:eastAsia="Calibri" w:hAnsi="Calibri" w:cs="Times New Roman"/>
          <w:sz w:val="24"/>
          <w:szCs w:val="24"/>
        </w:rPr>
        <w:t>,</w:t>
      </w:r>
      <w:r w:rsidRPr="00961715">
        <w:rPr>
          <w:rFonts w:ascii="Calibri" w:eastAsia="Calibri" w:hAnsi="Calibri" w:cs="Times New Roman"/>
          <w:sz w:val="24"/>
          <w:szCs w:val="24"/>
        </w:rPr>
        <w:t xml:space="preserve"> μόνο το 5,9% των επιχειρήσεων με κύκλο εργασιών έως 50.000</w:t>
      </w:r>
      <w:r w:rsidR="00D6170C">
        <w:rPr>
          <w:rFonts w:ascii="Calibri" w:eastAsia="Calibri" w:hAnsi="Calibri" w:cs="Times New Roman"/>
          <w:sz w:val="24"/>
          <w:szCs w:val="24"/>
        </w:rPr>
        <w:t xml:space="preserve"> </w:t>
      </w:r>
      <w:r w:rsidRPr="00961715">
        <w:rPr>
          <w:rFonts w:ascii="Calibri" w:eastAsia="Calibri" w:hAnsi="Calibri" w:cs="Times New Roman"/>
          <w:sz w:val="24"/>
          <w:szCs w:val="24"/>
        </w:rPr>
        <w:t>€ δήλωσαν ότι είχαν ταμειακά διαθέσιμα που επαρκούν για περισσότερο από 6 μήνες</w:t>
      </w:r>
      <w:r w:rsidR="00D6170C">
        <w:rPr>
          <w:rFonts w:ascii="Calibri" w:eastAsia="Calibri" w:hAnsi="Calibri" w:cs="Times New Roman"/>
          <w:sz w:val="24"/>
          <w:szCs w:val="24"/>
        </w:rPr>
        <w:t>,</w:t>
      </w:r>
      <w:r w:rsidRPr="00961715">
        <w:rPr>
          <w:rFonts w:ascii="Calibri" w:eastAsia="Calibri" w:hAnsi="Calibri" w:cs="Times New Roman"/>
          <w:sz w:val="24"/>
          <w:szCs w:val="24"/>
        </w:rPr>
        <w:t xml:space="preserve"> ενώ το ποσοστό αυτό διαμορφώνεται στο 17,7% για τις επιχειρήσεις με κύκλο εργασιών άνω των 300.000 €. </w:t>
      </w:r>
    </w:p>
    <w:p w14:paraId="669AFF22" w14:textId="107CA790" w:rsidR="00961715" w:rsidRPr="009C7BCE"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lastRenderedPageBreak/>
        <w:t>Το πρόβλημα της έλλειψης ταμειακών διαθ</w:t>
      </w:r>
      <w:r w:rsidR="00D6170C">
        <w:rPr>
          <w:rFonts w:ascii="Calibri" w:eastAsia="Calibri" w:hAnsi="Calibri" w:cs="Times New Roman"/>
          <w:sz w:val="24"/>
          <w:szCs w:val="24"/>
        </w:rPr>
        <w:t>έ</w:t>
      </w:r>
      <w:r w:rsidRPr="00961715">
        <w:rPr>
          <w:rFonts w:ascii="Calibri" w:eastAsia="Calibri" w:hAnsi="Calibri" w:cs="Times New Roman"/>
          <w:sz w:val="24"/>
          <w:szCs w:val="24"/>
        </w:rPr>
        <w:t>σ</w:t>
      </w:r>
      <w:r w:rsidR="00D6170C">
        <w:rPr>
          <w:rFonts w:ascii="Calibri" w:eastAsia="Calibri" w:hAnsi="Calibri" w:cs="Times New Roman"/>
          <w:sz w:val="24"/>
          <w:szCs w:val="24"/>
        </w:rPr>
        <w:t>ι</w:t>
      </w:r>
      <w:r w:rsidRPr="00961715">
        <w:rPr>
          <w:rFonts w:ascii="Calibri" w:eastAsia="Calibri" w:hAnsi="Calibri" w:cs="Times New Roman"/>
          <w:sz w:val="24"/>
          <w:szCs w:val="24"/>
        </w:rPr>
        <w:t>μων διαπερνά το σύνολο των κλάδων δραστηριότητας, αφού μόλις το 21,1% των επιχειρήσεων στη μεταποίηση</w:t>
      </w:r>
      <w:r w:rsidR="00D6170C">
        <w:rPr>
          <w:rFonts w:ascii="Calibri" w:eastAsia="Calibri" w:hAnsi="Calibri" w:cs="Times New Roman"/>
          <w:sz w:val="24"/>
          <w:szCs w:val="24"/>
        </w:rPr>
        <w:t>-</w:t>
      </w:r>
      <w:r w:rsidRPr="00961715">
        <w:rPr>
          <w:rFonts w:ascii="Calibri" w:eastAsia="Calibri" w:hAnsi="Calibri" w:cs="Times New Roman"/>
          <w:sz w:val="24"/>
          <w:szCs w:val="24"/>
        </w:rPr>
        <w:t>βιοτεχνία διαθέτουν ταμειακό απόθεμα για περισσότερο από έξι μήνες,</w:t>
      </w:r>
      <w:r w:rsidR="00D6170C">
        <w:rPr>
          <w:rFonts w:ascii="Calibri" w:eastAsia="Calibri" w:hAnsi="Calibri" w:cs="Times New Roman"/>
          <w:sz w:val="24"/>
          <w:szCs w:val="24"/>
        </w:rPr>
        <w:t xml:space="preserve"> όπως και</w:t>
      </w:r>
      <w:r w:rsidRPr="00961715">
        <w:rPr>
          <w:rFonts w:ascii="Calibri" w:eastAsia="Calibri" w:hAnsi="Calibri" w:cs="Times New Roman"/>
          <w:sz w:val="24"/>
          <w:szCs w:val="24"/>
        </w:rPr>
        <w:t xml:space="preserve"> το 18,9% και το 18,8% των επιχειρήσεων του εμπορίου και των υπηρεσιών</w:t>
      </w:r>
      <w:r w:rsidR="00D6170C">
        <w:rPr>
          <w:rFonts w:ascii="Calibri" w:eastAsia="Calibri" w:hAnsi="Calibri" w:cs="Times New Roman"/>
          <w:sz w:val="24"/>
          <w:szCs w:val="24"/>
        </w:rPr>
        <w:t>,</w:t>
      </w:r>
      <w:r w:rsidRPr="00961715">
        <w:rPr>
          <w:rFonts w:ascii="Calibri" w:eastAsia="Calibri" w:hAnsi="Calibri" w:cs="Times New Roman"/>
          <w:sz w:val="24"/>
          <w:szCs w:val="24"/>
        </w:rPr>
        <w:t xml:space="preserve"> αντίστοιχα. </w:t>
      </w:r>
      <w:r>
        <w:rPr>
          <w:rFonts w:ascii="Calibri" w:eastAsia="Calibri" w:hAnsi="Calibri" w:cs="Times New Roman"/>
          <w:sz w:val="24"/>
          <w:szCs w:val="24"/>
        </w:rPr>
        <w:t>Από την άλλη μεριά</w:t>
      </w:r>
      <w:r w:rsidR="00D6170C">
        <w:rPr>
          <w:rFonts w:ascii="Calibri" w:eastAsia="Calibri" w:hAnsi="Calibri" w:cs="Times New Roman"/>
          <w:sz w:val="24"/>
          <w:szCs w:val="24"/>
        </w:rPr>
        <w:t>,</w:t>
      </w:r>
      <w:r>
        <w:rPr>
          <w:rFonts w:ascii="Calibri" w:eastAsia="Calibri" w:hAnsi="Calibri" w:cs="Times New Roman"/>
          <w:sz w:val="24"/>
          <w:szCs w:val="24"/>
        </w:rPr>
        <w:t xml:space="preserve"> σοβαρό πρόβλημα ρευστότητας φαίνεται ότι αντιμετωπίζει το 28,5% των εμπορικών επιχειρήσεων, το 26,1% των επιχειρήσεων στον τομέα των υπηρεσιών και το 19,5% των επιχειρήσεων στον τομέα της μεταποίησης</w:t>
      </w:r>
      <w:r w:rsidR="009C7BCE" w:rsidRPr="00D96969">
        <w:rPr>
          <w:rFonts w:ascii="Calibri" w:eastAsia="Calibri" w:hAnsi="Calibri" w:cs="Times New Roman"/>
          <w:sz w:val="24"/>
          <w:szCs w:val="24"/>
        </w:rPr>
        <w:t xml:space="preserve">, </w:t>
      </w:r>
      <w:r w:rsidR="009C7BCE">
        <w:rPr>
          <w:rFonts w:ascii="Calibri" w:eastAsia="Calibri" w:hAnsi="Calibri" w:cs="Times New Roman"/>
          <w:sz w:val="24"/>
          <w:szCs w:val="24"/>
        </w:rPr>
        <w:t xml:space="preserve">δεδομένου ότι τα προαναφερόμενα ποσοστά αφορούν </w:t>
      </w:r>
      <w:r w:rsidR="00D6170C">
        <w:rPr>
          <w:rFonts w:ascii="Calibri" w:eastAsia="Calibri" w:hAnsi="Calibri" w:cs="Times New Roman"/>
          <w:sz w:val="24"/>
          <w:szCs w:val="24"/>
        </w:rPr>
        <w:t xml:space="preserve">σε </w:t>
      </w:r>
      <w:r w:rsidR="009C7BCE">
        <w:rPr>
          <w:rFonts w:ascii="Calibri" w:eastAsia="Calibri" w:hAnsi="Calibri" w:cs="Times New Roman"/>
          <w:sz w:val="24"/>
          <w:szCs w:val="24"/>
        </w:rPr>
        <w:t>επιχειρήσεις με μηδενικά ρευστά διαθέσιμα.</w:t>
      </w:r>
    </w:p>
    <w:p w14:paraId="349D77F0" w14:textId="124B413B" w:rsidR="00961715" w:rsidRDefault="00961715" w:rsidP="00961715">
      <w:pPr>
        <w:spacing w:after="0" w:line="360" w:lineRule="auto"/>
        <w:jc w:val="both"/>
        <w:rPr>
          <w:rFonts w:ascii="Calibri" w:eastAsia="Calibri" w:hAnsi="Calibri" w:cs="Times New Roman"/>
          <w:sz w:val="24"/>
          <w:szCs w:val="24"/>
        </w:rPr>
      </w:pPr>
      <w:r w:rsidRPr="009C7BCE">
        <w:rPr>
          <w:rFonts w:ascii="Calibri" w:eastAsia="Calibri" w:hAnsi="Calibri" w:cs="Times New Roman"/>
          <w:sz w:val="24"/>
          <w:szCs w:val="24"/>
        </w:rPr>
        <w:t>Τέλος, πολύ σοβαρό πρόβλημα</w:t>
      </w:r>
      <w:r w:rsidR="009C7BCE" w:rsidRPr="009C7BCE">
        <w:rPr>
          <w:rFonts w:ascii="Calibri" w:eastAsia="Calibri" w:hAnsi="Calibri" w:cs="Times New Roman"/>
          <w:sz w:val="24"/>
          <w:szCs w:val="24"/>
        </w:rPr>
        <w:t xml:space="preserve"> συνεχίζουν να</w:t>
      </w:r>
      <w:r w:rsidRPr="009C7BCE">
        <w:rPr>
          <w:rFonts w:ascii="Calibri" w:eastAsia="Calibri" w:hAnsi="Calibri" w:cs="Times New Roman"/>
          <w:sz w:val="24"/>
          <w:szCs w:val="24"/>
        </w:rPr>
        <w:t xml:space="preserve"> αντιμετωπίζουν οι επιχειρήσεις εστίασης όπου το ποσοστό εκείνων που δεν έχουν ταμειακά διαθέσιμα ή τα ταμειακά διαθέσιμα επαρκούν το πολύ για ένα μήνα ανέρχεται στο </w:t>
      </w:r>
      <w:r w:rsidR="009C7BCE" w:rsidRPr="009C7BCE">
        <w:rPr>
          <w:rFonts w:ascii="Calibri" w:eastAsia="Calibri" w:hAnsi="Calibri" w:cs="Times New Roman"/>
          <w:sz w:val="24"/>
          <w:szCs w:val="24"/>
        </w:rPr>
        <w:t>61,3</w:t>
      </w:r>
      <w:r w:rsidRPr="009C7BCE">
        <w:rPr>
          <w:rFonts w:ascii="Calibri" w:eastAsia="Calibri" w:hAnsi="Calibri" w:cs="Times New Roman"/>
          <w:sz w:val="24"/>
          <w:szCs w:val="24"/>
        </w:rPr>
        <w:t>% (</w:t>
      </w:r>
      <w:r w:rsidR="009C7BCE" w:rsidRPr="009C7BCE">
        <w:rPr>
          <w:rFonts w:ascii="Calibri" w:eastAsia="Calibri" w:hAnsi="Calibri" w:cs="Times New Roman"/>
          <w:sz w:val="24"/>
          <w:szCs w:val="24"/>
        </w:rPr>
        <w:t>30,7</w:t>
      </w:r>
      <w:r w:rsidRPr="009C7BCE">
        <w:rPr>
          <w:rFonts w:ascii="Calibri" w:eastAsia="Calibri" w:hAnsi="Calibri" w:cs="Times New Roman"/>
          <w:sz w:val="24"/>
          <w:szCs w:val="24"/>
        </w:rPr>
        <w:t>% δεν έχ</w:t>
      </w:r>
      <w:r w:rsidR="00D6170C">
        <w:rPr>
          <w:rFonts w:ascii="Calibri" w:eastAsia="Calibri" w:hAnsi="Calibri" w:cs="Times New Roman"/>
          <w:sz w:val="24"/>
          <w:szCs w:val="24"/>
        </w:rPr>
        <w:t>ει</w:t>
      </w:r>
      <w:r w:rsidRPr="009C7BCE">
        <w:rPr>
          <w:rFonts w:ascii="Calibri" w:eastAsia="Calibri" w:hAnsi="Calibri" w:cs="Times New Roman"/>
          <w:sz w:val="24"/>
          <w:szCs w:val="24"/>
        </w:rPr>
        <w:t xml:space="preserve"> καθόλου ταμειακά διαθέσιμα και </w:t>
      </w:r>
      <w:r w:rsidR="009C7BCE" w:rsidRPr="009C7BCE">
        <w:rPr>
          <w:rFonts w:ascii="Calibri" w:eastAsia="Calibri" w:hAnsi="Calibri" w:cs="Times New Roman"/>
          <w:sz w:val="24"/>
          <w:szCs w:val="24"/>
        </w:rPr>
        <w:t>3</w:t>
      </w:r>
      <w:r w:rsidR="00033B51">
        <w:rPr>
          <w:rFonts w:ascii="Calibri" w:eastAsia="Calibri" w:hAnsi="Calibri" w:cs="Times New Roman"/>
          <w:sz w:val="24"/>
          <w:szCs w:val="24"/>
        </w:rPr>
        <w:t>0,6</w:t>
      </w:r>
      <w:r w:rsidRPr="009C7BCE">
        <w:rPr>
          <w:rFonts w:ascii="Calibri" w:eastAsia="Calibri" w:hAnsi="Calibri" w:cs="Times New Roman"/>
          <w:sz w:val="24"/>
          <w:szCs w:val="24"/>
        </w:rPr>
        <w:t>% έχει ταμειακά διαθέσιμα που επαρκούν το πολύ για ένα μήνα).</w:t>
      </w:r>
      <w:r>
        <w:rPr>
          <w:rFonts w:ascii="Calibri" w:eastAsia="Calibri" w:hAnsi="Calibri" w:cs="Times New Roman"/>
          <w:sz w:val="24"/>
          <w:szCs w:val="24"/>
        </w:rPr>
        <w:t xml:space="preserve"> </w:t>
      </w:r>
    </w:p>
    <w:p w14:paraId="633AB7CE" w14:textId="77777777" w:rsidR="00961715" w:rsidRPr="00961715" w:rsidRDefault="00961715" w:rsidP="00961715">
      <w:pPr>
        <w:spacing w:after="0" w:line="360" w:lineRule="auto"/>
        <w:jc w:val="both"/>
        <w:rPr>
          <w:rFonts w:ascii="Calibri" w:eastAsia="Calibri" w:hAnsi="Calibri" w:cs="Times New Roman"/>
          <w:sz w:val="24"/>
          <w:szCs w:val="24"/>
        </w:rPr>
      </w:pPr>
    </w:p>
    <w:p w14:paraId="5EAA4EB9" w14:textId="77777777" w:rsidR="00961715" w:rsidRPr="00961715" w:rsidRDefault="00961715" w:rsidP="00961715">
      <w:pPr>
        <w:spacing w:line="360" w:lineRule="auto"/>
        <w:jc w:val="both"/>
        <w:rPr>
          <w:rFonts w:ascii="Calibri" w:eastAsia="Times New Roman" w:hAnsi="Calibri" w:cs="Times New Roman"/>
        </w:rPr>
      </w:pPr>
      <w:r w:rsidRPr="00961715">
        <w:rPr>
          <w:rFonts w:ascii="Calibri" w:eastAsia="Times New Roman" w:hAnsi="Calibri" w:cs="Times New Roman"/>
          <w:noProof/>
          <w:sz w:val="16"/>
          <w:szCs w:val="16"/>
        </w:rPr>
        <w:lastRenderedPageBreak/>
        <w:drawing>
          <wp:inline distT="0" distB="0" distL="0" distR="0" wp14:anchorId="41FC2B3C" wp14:editId="47CBE036">
            <wp:extent cx="6528021" cy="5526156"/>
            <wp:effectExtent l="0" t="0" r="25400" b="17780"/>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80BF5B" w14:textId="77777777" w:rsidR="00A2282D" w:rsidRPr="00A2282D" w:rsidRDefault="00A2282D" w:rsidP="00700BFC">
      <w:pPr>
        <w:spacing w:after="0" w:line="360" w:lineRule="auto"/>
        <w:jc w:val="both"/>
      </w:pPr>
    </w:p>
    <w:p w14:paraId="37D7577B" w14:textId="37E931A8" w:rsidR="00D96969" w:rsidRPr="00DE77D0" w:rsidRDefault="00D60539" w:rsidP="00700BFC">
      <w:pPr>
        <w:pStyle w:val="a3"/>
        <w:numPr>
          <w:ilvl w:val="0"/>
          <w:numId w:val="4"/>
        </w:numPr>
        <w:spacing w:after="0" w:line="360" w:lineRule="auto"/>
        <w:jc w:val="both"/>
        <w:rPr>
          <w:rFonts w:eastAsia="Times New Roman" w:cstheme="minorHAnsi"/>
          <w:b/>
          <w:sz w:val="24"/>
          <w:szCs w:val="24"/>
          <w:u w:val="single"/>
        </w:rPr>
      </w:pPr>
      <w:r w:rsidRPr="006F0645">
        <w:rPr>
          <w:rFonts w:eastAsia="Times New Roman" w:cstheme="minorHAnsi"/>
          <w:b/>
          <w:sz w:val="24"/>
          <w:szCs w:val="24"/>
          <w:u w:val="single"/>
        </w:rPr>
        <w:t>Απασχόληση</w:t>
      </w:r>
    </w:p>
    <w:p w14:paraId="731A4A06" w14:textId="173EBD7A" w:rsidR="00D96969" w:rsidRPr="00D96969" w:rsidRDefault="00D96969" w:rsidP="00D96969">
      <w:pPr>
        <w:spacing w:after="160" w:line="360" w:lineRule="auto"/>
        <w:jc w:val="both"/>
        <w:rPr>
          <w:rFonts w:ascii="Calibri" w:eastAsia="Calibri" w:hAnsi="Calibri" w:cs="Times New Roman"/>
          <w:sz w:val="24"/>
          <w:szCs w:val="24"/>
          <w:lang w:eastAsia="en-US"/>
        </w:rPr>
      </w:pPr>
      <w:r w:rsidRPr="00D96969">
        <w:rPr>
          <w:rFonts w:ascii="Calibri" w:eastAsia="Calibri" w:hAnsi="Calibri" w:cs="Times New Roman"/>
          <w:sz w:val="24"/>
          <w:szCs w:val="24"/>
          <w:lang w:eastAsia="en-US"/>
        </w:rPr>
        <w:t xml:space="preserve">Στην απασχόληση το ισοζύγιο των επιχειρήσεων που μετέβαλαν το προσωπικό τους παρέμεινε </w:t>
      </w:r>
      <w:r w:rsidR="00A7536F">
        <w:rPr>
          <w:rFonts w:ascii="Calibri" w:eastAsia="Calibri" w:hAnsi="Calibri" w:cs="Times New Roman"/>
          <w:sz w:val="24"/>
          <w:szCs w:val="24"/>
          <w:lang w:eastAsia="en-US"/>
        </w:rPr>
        <w:t>θετικό</w:t>
      </w:r>
      <w:r w:rsidRPr="00D96969">
        <w:rPr>
          <w:rFonts w:ascii="Calibri" w:eastAsia="Calibri" w:hAnsi="Calibri" w:cs="Times New Roman"/>
          <w:sz w:val="24"/>
          <w:szCs w:val="24"/>
          <w:lang w:eastAsia="en-US"/>
        </w:rPr>
        <w:t>. Συγκεκριμένα, το δεύτερο εξάμηνο του 2023 οι επιχειρήσεις οι οποίες δήλωσαν ότι αύξησαν το προσωπικό τους αντιστοιχούν στο 7,4%</w:t>
      </w:r>
      <w:r w:rsidR="00DB4F9F">
        <w:rPr>
          <w:rFonts w:ascii="Calibri" w:eastAsia="Calibri" w:hAnsi="Calibri" w:cs="Times New Roman"/>
          <w:sz w:val="24"/>
          <w:szCs w:val="24"/>
          <w:lang w:eastAsia="en-US"/>
        </w:rPr>
        <w:t>,</w:t>
      </w:r>
      <w:r w:rsidRPr="00D96969">
        <w:rPr>
          <w:rFonts w:ascii="Calibri" w:eastAsia="Calibri" w:hAnsi="Calibri" w:cs="Times New Roman"/>
          <w:sz w:val="24"/>
          <w:szCs w:val="24"/>
          <w:lang w:eastAsia="en-US"/>
        </w:rPr>
        <w:t xml:space="preserve"> έναντι 7,3% που δήλωσε ότι το μείωσε. Τα ευρήματα συμβαδίζουν μερικώς με τα διορθωμένα στοιχεία της ΕΛΣΤΑΤ, όπου </w:t>
      </w:r>
      <w:proofErr w:type="spellStart"/>
      <w:r w:rsidRPr="00D96969">
        <w:rPr>
          <w:rFonts w:ascii="Calibri" w:eastAsia="Calibri" w:hAnsi="Calibri" w:cs="Times New Roman"/>
          <w:sz w:val="24"/>
          <w:szCs w:val="24"/>
          <w:lang w:eastAsia="en-US"/>
        </w:rPr>
        <w:t>μεσοσταθμικά</w:t>
      </w:r>
      <w:proofErr w:type="spellEnd"/>
      <w:r w:rsidRPr="00D96969">
        <w:rPr>
          <w:rFonts w:ascii="Calibri" w:eastAsia="Calibri" w:hAnsi="Calibri" w:cs="Times New Roman"/>
          <w:sz w:val="24"/>
          <w:szCs w:val="24"/>
          <w:lang w:eastAsia="en-US"/>
        </w:rPr>
        <w:t xml:space="preserve"> καταγράφεται οριακή</w:t>
      </w:r>
      <w:r w:rsidR="00EE3DCA">
        <w:rPr>
          <w:rFonts w:ascii="Calibri" w:eastAsia="Calibri" w:hAnsi="Calibri" w:cs="Times New Roman"/>
          <w:sz w:val="24"/>
          <w:szCs w:val="24"/>
          <w:lang w:eastAsia="en-US"/>
        </w:rPr>
        <w:t xml:space="preserve"> </w:t>
      </w:r>
      <w:r w:rsidRPr="00D96969">
        <w:rPr>
          <w:rFonts w:ascii="Calibri" w:eastAsia="Calibri" w:hAnsi="Calibri" w:cs="Times New Roman"/>
          <w:sz w:val="24"/>
          <w:szCs w:val="24"/>
          <w:lang w:eastAsia="en-US"/>
        </w:rPr>
        <w:t>αποκλιμάκωση της ανεργίας μεταξύ πρώτου και δεύτερου εξαμήνου του 2023</w:t>
      </w:r>
      <w:r w:rsidR="00DB4F9F">
        <w:rPr>
          <w:rFonts w:ascii="Calibri" w:eastAsia="Calibri" w:hAnsi="Calibri" w:cs="Times New Roman"/>
          <w:sz w:val="24"/>
          <w:szCs w:val="24"/>
          <w:lang w:eastAsia="en-US"/>
        </w:rPr>
        <w:t>,</w:t>
      </w:r>
      <w:r w:rsidRPr="00D96969">
        <w:rPr>
          <w:rFonts w:ascii="Calibri" w:eastAsia="Calibri" w:hAnsi="Calibri" w:cs="Times New Roman"/>
          <w:sz w:val="24"/>
          <w:szCs w:val="24"/>
          <w:lang w:eastAsia="en-US"/>
        </w:rPr>
        <w:t xml:space="preserve"> αφού το ποσοστό μειώθηκε από 11,3% σ</w:t>
      </w:r>
      <w:r w:rsidR="00DB4F9F">
        <w:rPr>
          <w:rFonts w:ascii="Calibri" w:eastAsia="Calibri" w:hAnsi="Calibri" w:cs="Times New Roman"/>
          <w:sz w:val="24"/>
          <w:szCs w:val="24"/>
          <w:lang w:eastAsia="en-US"/>
        </w:rPr>
        <w:t>ε</w:t>
      </w:r>
      <w:r w:rsidRPr="00D96969">
        <w:rPr>
          <w:rFonts w:ascii="Calibri" w:eastAsia="Calibri" w:hAnsi="Calibri" w:cs="Times New Roman"/>
          <w:sz w:val="24"/>
          <w:szCs w:val="24"/>
          <w:lang w:eastAsia="en-US"/>
        </w:rPr>
        <w:t xml:space="preserve"> 10,7% περίπου τους τελευταίους έξι μήνες. </w:t>
      </w:r>
    </w:p>
    <w:p w14:paraId="5296AB29" w14:textId="3AB7B737" w:rsidR="00D96969" w:rsidRPr="00D96969" w:rsidRDefault="00D96969" w:rsidP="00D96969">
      <w:pPr>
        <w:spacing w:after="160" w:line="360" w:lineRule="auto"/>
        <w:jc w:val="both"/>
        <w:rPr>
          <w:rFonts w:ascii="Calibri" w:eastAsia="Calibri" w:hAnsi="Calibri" w:cs="Times New Roman"/>
          <w:bCs/>
          <w:sz w:val="24"/>
          <w:szCs w:val="24"/>
          <w:lang w:eastAsia="en-US"/>
        </w:rPr>
      </w:pPr>
      <w:r w:rsidRPr="00D96969">
        <w:rPr>
          <w:rFonts w:ascii="Calibri" w:eastAsia="Calibri" w:hAnsi="Calibri" w:cs="Times New Roman"/>
          <w:bCs/>
          <w:sz w:val="24"/>
          <w:szCs w:val="24"/>
          <w:lang w:eastAsia="en-US"/>
        </w:rPr>
        <w:t>Στον κλάδο των υπηρεσιών και του εμπορίου το ισοζύγιο</w:t>
      </w:r>
      <w:r w:rsidR="00A7536F">
        <w:rPr>
          <w:rFonts w:ascii="Calibri" w:eastAsia="Calibri" w:hAnsi="Calibri" w:cs="Times New Roman"/>
          <w:bCs/>
          <w:sz w:val="24"/>
          <w:szCs w:val="24"/>
          <w:lang w:eastAsia="en-US"/>
        </w:rPr>
        <w:t xml:space="preserve"> των</w:t>
      </w:r>
      <w:r w:rsidRPr="00D96969">
        <w:rPr>
          <w:rFonts w:ascii="Calibri" w:eastAsia="Calibri" w:hAnsi="Calibri" w:cs="Times New Roman"/>
          <w:bCs/>
          <w:sz w:val="24"/>
          <w:szCs w:val="24"/>
          <w:lang w:eastAsia="en-US"/>
        </w:rPr>
        <w:t xml:space="preserve"> επιχειρήσεων που αύξησαν την απασχόληση σε σχέση με</w:t>
      </w:r>
      <w:r w:rsidR="00A7536F">
        <w:rPr>
          <w:rFonts w:ascii="Calibri" w:eastAsia="Calibri" w:hAnsi="Calibri" w:cs="Times New Roman"/>
          <w:bCs/>
          <w:sz w:val="24"/>
          <w:szCs w:val="24"/>
          <w:lang w:eastAsia="en-US"/>
        </w:rPr>
        <w:t xml:space="preserve"> όσες τη μείωσαν είναι θετικό. Συγκεκριμένα,</w:t>
      </w:r>
      <w:r w:rsidRPr="00D96969">
        <w:rPr>
          <w:rFonts w:ascii="Calibri" w:eastAsia="Calibri" w:hAnsi="Calibri" w:cs="Times New Roman"/>
          <w:bCs/>
          <w:sz w:val="24"/>
          <w:szCs w:val="24"/>
          <w:lang w:eastAsia="en-US"/>
        </w:rPr>
        <w:t xml:space="preserve"> στις υπηρεσίες το 8,3% </w:t>
      </w:r>
      <w:r w:rsidR="00A7536F">
        <w:rPr>
          <w:rFonts w:ascii="Calibri" w:eastAsia="Calibri" w:hAnsi="Calibri" w:cs="Times New Roman"/>
          <w:bCs/>
          <w:sz w:val="24"/>
          <w:szCs w:val="24"/>
          <w:lang w:eastAsia="en-US"/>
        </w:rPr>
        <w:t xml:space="preserve">των επιχειρήσεων </w:t>
      </w:r>
      <w:r w:rsidRPr="00D96969">
        <w:rPr>
          <w:rFonts w:ascii="Calibri" w:eastAsia="Calibri" w:hAnsi="Calibri" w:cs="Times New Roman"/>
          <w:bCs/>
          <w:sz w:val="24"/>
          <w:szCs w:val="24"/>
          <w:lang w:eastAsia="en-US"/>
        </w:rPr>
        <w:lastRenderedPageBreak/>
        <w:t>αύξησε τις παρεχόμενες θέσεις εργασίας</w:t>
      </w:r>
      <w:r w:rsidR="00DB4F9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7,6% που τις μείωσε, ενώ στο εμπόριο το 6,6% αύξησε το προσωπικό</w:t>
      </w:r>
      <w:r w:rsidR="00DB4F9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w:t>
      </w:r>
      <w:r w:rsidR="00A7536F">
        <w:rPr>
          <w:rFonts w:ascii="Calibri" w:eastAsia="Calibri" w:hAnsi="Calibri" w:cs="Times New Roman"/>
          <w:bCs/>
          <w:sz w:val="24"/>
          <w:szCs w:val="24"/>
          <w:lang w:eastAsia="en-US"/>
        </w:rPr>
        <w:t xml:space="preserve">έναντι </w:t>
      </w:r>
      <w:r w:rsidRPr="00D96969">
        <w:rPr>
          <w:rFonts w:ascii="Calibri" w:eastAsia="Calibri" w:hAnsi="Calibri" w:cs="Times New Roman"/>
          <w:bCs/>
          <w:sz w:val="24"/>
          <w:szCs w:val="24"/>
          <w:lang w:eastAsia="en-US"/>
        </w:rPr>
        <w:t xml:space="preserve">6% </w:t>
      </w:r>
      <w:r w:rsidR="00A7536F">
        <w:rPr>
          <w:rFonts w:ascii="Calibri" w:eastAsia="Calibri" w:hAnsi="Calibri" w:cs="Times New Roman"/>
          <w:bCs/>
          <w:sz w:val="24"/>
          <w:szCs w:val="24"/>
          <w:lang w:eastAsia="en-US"/>
        </w:rPr>
        <w:t xml:space="preserve">που </w:t>
      </w:r>
      <w:r w:rsidRPr="00D96969">
        <w:rPr>
          <w:rFonts w:ascii="Calibri" w:eastAsia="Calibri" w:hAnsi="Calibri" w:cs="Times New Roman"/>
          <w:bCs/>
          <w:sz w:val="24"/>
          <w:szCs w:val="24"/>
          <w:lang w:eastAsia="en-US"/>
        </w:rPr>
        <w:t>το μείωσε. Αντίθετα, αρνητικό είναι το πρόσημο στον τομέα της μεταποίησης, καθώς το 7,6% των επιχειρήσεων αύξησε την απασχόληση</w:t>
      </w:r>
      <w:r w:rsidR="00DB4F9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σε αντιδιαστολή με 9,2% που μείωσ</w:t>
      </w:r>
      <w:r w:rsidR="00DB4F9F">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το προσωπικό τους.</w:t>
      </w:r>
    </w:p>
    <w:p w14:paraId="79311BC8" w14:textId="099EC70F" w:rsidR="00D96969" w:rsidRPr="00D96969" w:rsidRDefault="00D96969" w:rsidP="00D96969">
      <w:pPr>
        <w:spacing w:after="160" w:line="360" w:lineRule="auto"/>
        <w:jc w:val="both"/>
        <w:rPr>
          <w:rFonts w:ascii="Calibri" w:eastAsia="Calibri" w:hAnsi="Calibri" w:cs="Times New Roman"/>
          <w:bCs/>
          <w:sz w:val="24"/>
          <w:szCs w:val="24"/>
          <w:lang w:eastAsia="en-US"/>
        </w:rPr>
      </w:pPr>
      <w:r w:rsidRPr="00D96969">
        <w:rPr>
          <w:rFonts w:ascii="Calibri" w:eastAsia="Calibri" w:hAnsi="Calibri" w:cs="Times New Roman"/>
          <w:bCs/>
          <w:sz w:val="24"/>
          <w:szCs w:val="24"/>
          <w:lang w:eastAsia="en-US"/>
        </w:rPr>
        <w:t>Σε γεωγραφικό επίπεδο, το μεγαλύτερο αρνητικό ισοζύγιο καταγράφεται στ</w:t>
      </w:r>
      <w:r w:rsidR="00326F61">
        <w:rPr>
          <w:rFonts w:ascii="Calibri" w:eastAsia="Calibri" w:hAnsi="Calibri" w:cs="Times New Roman"/>
          <w:bCs/>
          <w:sz w:val="24"/>
          <w:szCs w:val="24"/>
          <w:lang w:eastAsia="en-US"/>
        </w:rPr>
        <w:t>α</w:t>
      </w:r>
      <w:r w:rsidRPr="00D96969">
        <w:rPr>
          <w:rFonts w:ascii="Calibri" w:eastAsia="Calibri" w:hAnsi="Calibri" w:cs="Times New Roman"/>
          <w:bCs/>
          <w:sz w:val="24"/>
          <w:szCs w:val="24"/>
          <w:lang w:eastAsia="en-US"/>
        </w:rPr>
        <w:t xml:space="preserve"> Νησιά Αιγαίου/Κρήτη και στη Βόρεια Ελλάδα (7,7% και 7,8% αύξηση</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αντίστοιχα</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9,6% και 9,7%</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αντίστοιχα</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μείωση). Οι επιχειρήσεις με κύκλο εργασιών άνω των 300.000</w:t>
      </w:r>
      <w:r w:rsidR="00326F61">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και άνω των πέντε ατόμων προσωπικό, παρουσιάζουν την καλύτερη σχέση αύξησης/μείωσης εργαζομένων. Συγκεκριμένα, 19,1% των επιχειρήσεων με κύκλο εργασιών μεγαλύτερο των 300.000</w:t>
      </w:r>
      <w:r w:rsidR="00326F61">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xml:space="preserve">€ αύξησαν το προσωπικό </w:t>
      </w:r>
      <w:r w:rsidR="00326F61">
        <w:rPr>
          <w:rFonts w:ascii="Calibri" w:eastAsia="Calibri" w:hAnsi="Calibri" w:cs="Times New Roman"/>
          <w:bCs/>
          <w:sz w:val="24"/>
          <w:szCs w:val="24"/>
          <w:lang w:eastAsia="en-US"/>
        </w:rPr>
        <w:t>τους,</w:t>
      </w:r>
      <w:r w:rsidRPr="00D96969">
        <w:rPr>
          <w:rFonts w:ascii="Calibri" w:eastAsia="Calibri" w:hAnsi="Calibri" w:cs="Times New Roman"/>
          <w:bCs/>
          <w:sz w:val="24"/>
          <w:szCs w:val="24"/>
          <w:lang w:eastAsia="en-US"/>
        </w:rPr>
        <w:t xml:space="preserve"> έναντι 8,1% που μείωσε τις θέσεις εργασίας στην επιχείρηση. Αντίστοιχα, το 22,4% με περισσότερους από 5 εργαζομένους</w:t>
      </w:r>
      <w:r w:rsidR="00326F61">
        <w:rPr>
          <w:rFonts w:ascii="Calibri" w:eastAsia="Calibri" w:hAnsi="Calibri" w:cs="Times New Roman"/>
          <w:bCs/>
          <w:sz w:val="24"/>
          <w:szCs w:val="24"/>
          <w:lang w:eastAsia="en-US"/>
        </w:rPr>
        <w:t>/</w:t>
      </w:r>
      <w:proofErr w:type="spellStart"/>
      <w:r w:rsidR="00326F61">
        <w:rPr>
          <w:rFonts w:ascii="Calibri" w:eastAsia="Calibri" w:hAnsi="Calibri" w:cs="Times New Roman"/>
          <w:bCs/>
          <w:sz w:val="24"/>
          <w:szCs w:val="24"/>
          <w:lang w:eastAsia="en-US"/>
        </w:rPr>
        <w:t>όμενες</w:t>
      </w:r>
      <w:proofErr w:type="spellEnd"/>
      <w:r w:rsidRPr="00D96969">
        <w:rPr>
          <w:rFonts w:ascii="Calibri" w:eastAsia="Calibri" w:hAnsi="Calibri" w:cs="Times New Roman"/>
          <w:bCs/>
          <w:sz w:val="24"/>
          <w:szCs w:val="24"/>
          <w:lang w:eastAsia="en-US"/>
        </w:rPr>
        <w:t xml:space="preserve"> αύξησε τις προσφερόμενες θέσεις εργασίας</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10,5% που τις μείωσε. Θετικό</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τέλος</w:t>
      </w:r>
      <w:r w:rsidR="00326F61">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είναι και το αποτέλεσμα των επιχειρήσεων που απασχολούν 4 έως 5 άτομα, καθώς το</w:t>
      </w:r>
      <w:r w:rsidR="002A2F09">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13,6% αυτών αύξησε το προσωπικό του, έναντι 12,2% που το μείωσε.</w:t>
      </w:r>
    </w:p>
    <w:p w14:paraId="6C03CA54" w14:textId="2ACF84AE" w:rsidR="00D96969" w:rsidRPr="00D96969" w:rsidRDefault="00D96969" w:rsidP="00D96969">
      <w:pPr>
        <w:spacing w:after="160" w:line="360" w:lineRule="auto"/>
        <w:jc w:val="both"/>
        <w:rPr>
          <w:rFonts w:ascii="Calibri" w:eastAsia="Calibri" w:hAnsi="Calibri" w:cs="Times New Roman"/>
          <w:bCs/>
          <w:sz w:val="24"/>
          <w:szCs w:val="24"/>
          <w:lang w:eastAsia="en-US"/>
        </w:rPr>
      </w:pPr>
      <w:r w:rsidRPr="00D96969">
        <w:rPr>
          <w:rFonts w:ascii="Calibri" w:eastAsia="Calibri" w:hAnsi="Calibri" w:cs="Times New Roman"/>
          <w:bCs/>
          <w:sz w:val="24"/>
          <w:szCs w:val="24"/>
          <w:lang w:eastAsia="en-US"/>
        </w:rPr>
        <w:t xml:space="preserve">Η εικόνα της απασχόλησης αναστρέφεται σε όλες τις άλλες κατηγορίες επιχειρήσεων. Συγκεκριμένα, το 14,1% των επιχειρήσεων με </w:t>
      </w:r>
      <w:r w:rsidR="009B547D">
        <w:rPr>
          <w:rFonts w:ascii="Calibri" w:eastAsia="Calibri" w:hAnsi="Calibri" w:cs="Times New Roman"/>
          <w:bCs/>
          <w:sz w:val="24"/>
          <w:szCs w:val="24"/>
          <w:lang w:eastAsia="en-US"/>
        </w:rPr>
        <w:t>κύκλο εργασιών</w:t>
      </w:r>
      <w:r w:rsidR="009B547D" w:rsidRPr="00D96969">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xml:space="preserve">μεταξύ 100.000€ </w:t>
      </w:r>
      <w:r w:rsidR="009B547D">
        <w:rPr>
          <w:rFonts w:ascii="Calibri" w:eastAsia="Calibri" w:hAnsi="Calibri" w:cs="Times New Roman"/>
          <w:bCs/>
          <w:sz w:val="24"/>
          <w:szCs w:val="24"/>
          <w:lang w:eastAsia="en-US"/>
        </w:rPr>
        <w:t>και</w:t>
      </w:r>
      <w:r w:rsidRPr="00D96969">
        <w:rPr>
          <w:rFonts w:ascii="Calibri" w:eastAsia="Calibri" w:hAnsi="Calibri" w:cs="Times New Roman"/>
          <w:bCs/>
          <w:sz w:val="24"/>
          <w:szCs w:val="24"/>
          <w:lang w:eastAsia="en-US"/>
        </w:rPr>
        <w:t xml:space="preserve"> 300.000€</w:t>
      </w:r>
      <w:r w:rsidR="00ED4052">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μείωσ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το προσωπικό του</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10% που το αύξησ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το 6,7% των επιχειρήσεων με κύκλο εργασιών 50.000</w:t>
      </w:r>
      <w:r w:rsidR="009B547D">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w:t>
      </w:r>
      <w:r w:rsidR="00A7536F">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- 100.000</w:t>
      </w:r>
      <w:r w:rsidR="009B547D">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μείωσ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την απασχόληση</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6% που την αύξησ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και</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τέλος</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5% των επιχειρήσεων με κύκλο εργασιών έως 50.000</w:t>
      </w:r>
      <w:r w:rsidR="009B547D">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μείωσ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τον αριθμό εργαζομένων</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μόλις 0</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9% που τον αύξησ</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Παράλληλα, εντοπίζεται ένα 4,7% επιχειρήσεων που έμειν</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χωρίς προσωπικό</w:t>
      </w:r>
      <w:r w:rsidR="009B547D">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ενώ προηγουμένως είχ</w:t>
      </w:r>
      <w:r w:rsidR="009B547D">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τουλάχιστον έναν</w:t>
      </w:r>
      <w:r w:rsidR="009B547D">
        <w:rPr>
          <w:rFonts w:ascii="Calibri" w:eastAsia="Calibri" w:hAnsi="Calibri" w:cs="Times New Roman"/>
          <w:bCs/>
          <w:sz w:val="24"/>
          <w:szCs w:val="24"/>
          <w:lang w:eastAsia="en-US"/>
        </w:rPr>
        <w:t>/μία</w:t>
      </w:r>
      <w:r w:rsidRPr="00D96969">
        <w:rPr>
          <w:rFonts w:ascii="Calibri" w:eastAsia="Calibri" w:hAnsi="Calibri" w:cs="Times New Roman"/>
          <w:bCs/>
          <w:sz w:val="24"/>
          <w:szCs w:val="24"/>
          <w:lang w:eastAsia="en-US"/>
        </w:rPr>
        <w:t xml:space="preserve"> εργαζόμενο</w:t>
      </w:r>
      <w:r w:rsidR="009B547D">
        <w:rPr>
          <w:rFonts w:ascii="Calibri" w:eastAsia="Calibri" w:hAnsi="Calibri" w:cs="Times New Roman"/>
          <w:bCs/>
          <w:sz w:val="24"/>
          <w:szCs w:val="24"/>
          <w:lang w:eastAsia="en-US"/>
        </w:rPr>
        <w:t>/η</w:t>
      </w:r>
      <w:r w:rsidRPr="00D96969">
        <w:rPr>
          <w:rFonts w:ascii="Calibri" w:eastAsia="Calibri" w:hAnsi="Calibri" w:cs="Times New Roman"/>
          <w:bCs/>
          <w:sz w:val="24"/>
          <w:szCs w:val="24"/>
          <w:lang w:eastAsia="en-US"/>
        </w:rPr>
        <w:t>. Οι επιχειρήσεις με έναν</w:t>
      </w:r>
      <w:r w:rsidR="009B547D">
        <w:rPr>
          <w:rFonts w:ascii="Calibri" w:eastAsia="Calibri" w:hAnsi="Calibri" w:cs="Times New Roman"/>
          <w:bCs/>
          <w:sz w:val="24"/>
          <w:szCs w:val="24"/>
          <w:lang w:eastAsia="en-US"/>
        </w:rPr>
        <w:t>/μία</w:t>
      </w:r>
      <w:r w:rsidRPr="00D96969">
        <w:rPr>
          <w:rFonts w:ascii="Calibri" w:eastAsia="Calibri" w:hAnsi="Calibri" w:cs="Times New Roman"/>
          <w:bCs/>
          <w:sz w:val="24"/>
          <w:szCs w:val="24"/>
          <w:lang w:eastAsia="en-US"/>
        </w:rPr>
        <w:t xml:space="preserve"> τουλάχιστον εργαζόμενο</w:t>
      </w:r>
      <w:r w:rsidR="009B547D">
        <w:rPr>
          <w:rFonts w:ascii="Calibri" w:eastAsia="Calibri" w:hAnsi="Calibri" w:cs="Times New Roman"/>
          <w:bCs/>
          <w:sz w:val="24"/>
          <w:szCs w:val="24"/>
          <w:lang w:eastAsia="en-US"/>
        </w:rPr>
        <w:t>/η</w:t>
      </w:r>
      <w:r w:rsidRPr="00D96969">
        <w:rPr>
          <w:rFonts w:ascii="Calibri" w:eastAsia="Calibri" w:hAnsi="Calibri" w:cs="Times New Roman"/>
          <w:bCs/>
          <w:sz w:val="24"/>
          <w:szCs w:val="24"/>
          <w:lang w:eastAsia="en-US"/>
        </w:rPr>
        <w:t xml:space="preserve"> δηλώνουν μείωση προσωπικού τους τελευταίους έξι μήνες σε ποσοστό 5%, έναντι 2,9</w:t>
      </w:r>
      <w:r w:rsidR="00A7536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που δηλών</w:t>
      </w:r>
      <w:r w:rsidR="00FC631A">
        <w:rPr>
          <w:rFonts w:ascii="Calibri" w:eastAsia="Calibri" w:hAnsi="Calibri" w:cs="Times New Roman"/>
          <w:bCs/>
          <w:sz w:val="24"/>
          <w:szCs w:val="24"/>
          <w:lang w:eastAsia="en-US"/>
        </w:rPr>
        <w:t>ει</w:t>
      </w:r>
      <w:r w:rsidRPr="00D96969">
        <w:rPr>
          <w:rFonts w:ascii="Calibri" w:eastAsia="Calibri" w:hAnsi="Calibri" w:cs="Times New Roman"/>
          <w:bCs/>
          <w:sz w:val="24"/>
          <w:szCs w:val="24"/>
          <w:lang w:eastAsia="en-US"/>
        </w:rPr>
        <w:t xml:space="preserve"> αύξηση, ενώ στις επιχειρήσεις με προσωπικό δύο έως τρία άτομα, το ποσοστό αυτών που μείωσαν προσωπικό ανήλθε στο 9,3%</w:t>
      </w:r>
      <w:r w:rsidR="00FC631A">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8,7% των επιχειρήσεων που δήλωσ</w:t>
      </w:r>
      <w:r w:rsidR="00FC631A">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αύξηση προσωπικού.</w:t>
      </w:r>
      <w:r w:rsidR="00EE3DCA">
        <w:rPr>
          <w:rFonts w:ascii="Calibri" w:eastAsia="Calibri" w:hAnsi="Calibri" w:cs="Times New Roman"/>
          <w:bCs/>
          <w:sz w:val="24"/>
          <w:szCs w:val="24"/>
          <w:lang w:eastAsia="en-US"/>
        </w:rPr>
        <w:t xml:space="preserve"> </w:t>
      </w:r>
      <w:r w:rsidRPr="00D96969">
        <w:rPr>
          <w:rFonts w:ascii="Calibri" w:eastAsia="Calibri" w:hAnsi="Calibri" w:cs="Times New Roman"/>
          <w:bCs/>
          <w:sz w:val="24"/>
          <w:szCs w:val="24"/>
          <w:lang w:eastAsia="en-US"/>
        </w:rPr>
        <w:t xml:space="preserve"> </w:t>
      </w:r>
    </w:p>
    <w:p w14:paraId="6875F053" w14:textId="107EEDF8" w:rsidR="00D96969" w:rsidRPr="00D96969" w:rsidRDefault="00D96969" w:rsidP="00D96969">
      <w:pPr>
        <w:spacing w:after="160" w:line="360" w:lineRule="auto"/>
        <w:jc w:val="both"/>
        <w:rPr>
          <w:rFonts w:ascii="Calibri" w:eastAsia="Calibri" w:hAnsi="Calibri" w:cs="Times New Roman"/>
          <w:bCs/>
          <w:sz w:val="24"/>
          <w:szCs w:val="24"/>
          <w:lang w:eastAsia="en-US"/>
        </w:rPr>
      </w:pPr>
      <w:r w:rsidRPr="00D96969">
        <w:rPr>
          <w:rFonts w:ascii="Calibri" w:eastAsia="Calibri" w:hAnsi="Calibri" w:cs="Times New Roman"/>
          <w:bCs/>
          <w:sz w:val="24"/>
          <w:szCs w:val="24"/>
          <w:lang w:eastAsia="en-US"/>
        </w:rPr>
        <w:t>Ενδιαφέρον, επίσης, εύρημα αποτελεί ότι το ποσοστό των επιχειρήσεων που προέβλεψ</w:t>
      </w:r>
      <w:r w:rsidR="00162FEF">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αύξηση απασχόλησης το πρώτο εξάμηνο του 2023 (7,4%) ταυτίζεται με το ποσοστό των επιχειρήσεων που όντως αύξησ</w:t>
      </w:r>
      <w:r w:rsidR="00162FEF">
        <w:rPr>
          <w:rFonts w:ascii="Calibri" w:eastAsia="Calibri" w:hAnsi="Calibri" w:cs="Times New Roman"/>
          <w:bCs/>
          <w:sz w:val="24"/>
          <w:szCs w:val="24"/>
          <w:lang w:eastAsia="en-US"/>
        </w:rPr>
        <w:t>ε</w:t>
      </w:r>
      <w:r w:rsidRPr="00D96969">
        <w:rPr>
          <w:rFonts w:ascii="Calibri" w:eastAsia="Calibri" w:hAnsi="Calibri" w:cs="Times New Roman"/>
          <w:bCs/>
          <w:sz w:val="24"/>
          <w:szCs w:val="24"/>
          <w:lang w:eastAsia="en-US"/>
        </w:rPr>
        <w:t xml:space="preserve"> το προσωπικό του κατά το </w:t>
      </w:r>
      <w:r w:rsidR="00162FEF">
        <w:rPr>
          <w:rFonts w:ascii="Calibri" w:eastAsia="Calibri" w:hAnsi="Calibri" w:cs="Times New Roman"/>
          <w:bCs/>
          <w:sz w:val="24"/>
          <w:szCs w:val="24"/>
          <w:lang w:eastAsia="en-US"/>
        </w:rPr>
        <w:t>δεύτερο</w:t>
      </w:r>
      <w:r w:rsidRPr="00D96969">
        <w:rPr>
          <w:rFonts w:ascii="Calibri" w:eastAsia="Calibri" w:hAnsi="Calibri" w:cs="Times New Roman"/>
          <w:bCs/>
          <w:sz w:val="24"/>
          <w:szCs w:val="24"/>
          <w:lang w:eastAsia="en-US"/>
        </w:rPr>
        <w:t xml:space="preserve"> εξάμηνο (7,4%), σε αντίθεση με τις προβλέψεις μείωσης του αριθμού εργαζομένων </w:t>
      </w:r>
      <w:r w:rsidR="00162FEF">
        <w:rPr>
          <w:rFonts w:ascii="Calibri" w:eastAsia="Calibri" w:hAnsi="Calibri" w:cs="Times New Roman"/>
          <w:bCs/>
          <w:sz w:val="24"/>
          <w:szCs w:val="24"/>
          <w:lang w:eastAsia="en-US"/>
        </w:rPr>
        <w:t>ό</w:t>
      </w:r>
      <w:r w:rsidRPr="00D96969">
        <w:rPr>
          <w:rFonts w:ascii="Calibri" w:eastAsia="Calibri" w:hAnsi="Calibri" w:cs="Times New Roman"/>
          <w:bCs/>
          <w:sz w:val="24"/>
          <w:szCs w:val="24"/>
          <w:lang w:eastAsia="en-US"/>
        </w:rPr>
        <w:t xml:space="preserve">που από 4,7% που είχε δηλώσει ότι θα μειώσει το προσωπικό του, </w:t>
      </w:r>
      <w:r w:rsidR="00162FEF">
        <w:rPr>
          <w:rFonts w:ascii="Calibri" w:eastAsia="Calibri" w:hAnsi="Calibri" w:cs="Times New Roman"/>
          <w:bCs/>
          <w:sz w:val="24"/>
          <w:szCs w:val="24"/>
          <w:lang w:eastAsia="en-US"/>
        </w:rPr>
        <w:t xml:space="preserve">το ποσοστό αυτό </w:t>
      </w:r>
      <w:r w:rsidRPr="00D96969">
        <w:rPr>
          <w:rFonts w:ascii="Calibri" w:eastAsia="Calibri" w:hAnsi="Calibri" w:cs="Times New Roman"/>
          <w:bCs/>
          <w:sz w:val="24"/>
          <w:szCs w:val="24"/>
          <w:lang w:eastAsia="en-US"/>
        </w:rPr>
        <w:t>ανήλθε τελικά στο 7,3%.</w:t>
      </w:r>
      <w:r w:rsidR="00EE3DCA">
        <w:rPr>
          <w:rFonts w:ascii="Calibri" w:eastAsia="Calibri" w:hAnsi="Calibri" w:cs="Times New Roman"/>
          <w:bCs/>
          <w:sz w:val="24"/>
          <w:szCs w:val="24"/>
          <w:lang w:eastAsia="en-US"/>
        </w:rPr>
        <w:t xml:space="preserve"> </w:t>
      </w:r>
    </w:p>
    <w:p w14:paraId="0F918B14" w14:textId="094EFCDE" w:rsidR="00D96969" w:rsidRPr="00D96969" w:rsidRDefault="00D96969" w:rsidP="00D96969">
      <w:pPr>
        <w:spacing w:after="160" w:line="360" w:lineRule="auto"/>
        <w:jc w:val="both"/>
        <w:rPr>
          <w:rFonts w:ascii="Calibri" w:eastAsia="Calibri" w:hAnsi="Calibri" w:cs="Times New Roman"/>
          <w:bCs/>
          <w:sz w:val="24"/>
          <w:szCs w:val="24"/>
          <w:lang w:eastAsia="en-US"/>
        </w:rPr>
      </w:pPr>
      <w:r w:rsidRPr="00D96969">
        <w:rPr>
          <w:rFonts w:ascii="Calibri" w:eastAsia="Calibri" w:hAnsi="Calibri" w:cs="Times New Roman"/>
          <w:bCs/>
          <w:sz w:val="24"/>
          <w:szCs w:val="24"/>
          <w:lang w:eastAsia="en-US"/>
        </w:rPr>
        <w:t>Θετικές, τέλος, είναι οι εκτιμήσεις για το πρώτο εξάμηνο του 2024</w:t>
      </w:r>
      <w:r w:rsidR="00162FE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καθώς το 13,7% των επιχειρήσεων δήλωσε ότι θα αυξήσει το προσωπικό</w:t>
      </w:r>
      <w:r w:rsidR="00162FEF">
        <w:rPr>
          <w:rFonts w:ascii="Calibri" w:eastAsia="Calibri" w:hAnsi="Calibri" w:cs="Times New Roman"/>
          <w:bCs/>
          <w:sz w:val="24"/>
          <w:szCs w:val="24"/>
          <w:lang w:eastAsia="en-US"/>
        </w:rPr>
        <w:t>,</w:t>
      </w:r>
      <w:r w:rsidRPr="00D96969">
        <w:rPr>
          <w:rFonts w:ascii="Calibri" w:eastAsia="Calibri" w:hAnsi="Calibri" w:cs="Times New Roman"/>
          <w:bCs/>
          <w:sz w:val="24"/>
          <w:szCs w:val="24"/>
          <w:lang w:eastAsia="en-US"/>
        </w:rPr>
        <w:t xml:space="preserve"> έναντι 3,5% που δήλωσε ότι θα το μειώσει. </w:t>
      </w:r>
    </w:p>
    <w:p w14:paraId="5D913975" w14:textId="77777777" w:rsidR="00D96969" w:rsidRPr="00D96969" w:rsidRDefault="00D96969" w:rsidP="00D96969">
      <w:pPr>
        <w:spacing w:after="160" w:line="259" w:lineRule="auto"/>
        <w:rPr>
          <w:rFonts w:ascii="Calibri" w:eastAsia="Calibri" w:hAnsi="Calibri" w:cs="Times New Roman"/>
          <w:bCs/>
          <w:lang w:eastAsia="en-US"/>
        </w:rPr>
      </w:pPr>
      <w:r w:rsidRPr="00D96969">
        <w:rPr>
          <w:rFonts w:ascii="Calibri" w:eastAsia="Calibri" w:hAnsi="Calibri" w:cs="Times New Roman"/>
          <w:noProof/>
        </w:rPr>
        <w:lastRenderedPageBreak/>
        <w:drawing>
          <wp:inline distT="0" distB="0" distL="0" distR="0" wp14:anchorId="542DE932" wp14:editId="2F915D3F">
            <wp:extent cx="6679095" cy="5470498"/>
            <wp:effectExtent l="0" t="0" r="26670" b="1651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EA8C18" w14:textId="00FEF50F" w:rsidR="00A7536F" w:rsidRPr="00DE77D0" w:rsidRDefault="00817AE2" w:rsidP="00DE77D0">
      <w:pPr>
        <w:numPr>
          <w:ilvl w:val="0"/>
          <w:numId w:val="4"/>
        </w:numPr>
        <w:spacing w:after="0" w:line="360" w:lineRule="auto"/>
        <w:contextualSpacing/>
        <w:rPr>
          <w:rFonts w:ascii="Calibri" w:hAnsi="Calibri" w:cs="Calibri"/>
          <w:b/>
          <w:sz w:val="24"/>
          <w:szCs w:val="24"/>
          <w:u w:val="single"/>
        </w:rPr>
      </w:pPr>
      <w:r w:rsidRPr="00817AE2">
        <w:rPr>
          <w:rFonts w:ascii="Calibri" w:hAnsi="Calibri" w:cs="Calibri"/>
          <w:b/>
          <w:sz w:val="24"/>
          <w:szCs w:val="24"/>
          <w:u w:val="single"/>
        </w:rPr>
        <w:t>Επενδύσεις</w:t>
      </w:r>
    </w:p>
    <w:p w14:paraId="6139DB07" w14:textId="38A2F345" w:rsidR="00A7536F" w:rsidRPr="00A7536F" w:rsidRDefault="00B715BE"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Σε σχέση με τις επενδύσεις τ</w:t>
      </w:r>
      <w:r w:rsidR="00A7536F" w:rsidRPr="00A7536F">
        <w:rPr>
          <w:rFonts w:ascii="Calibri" w:eastAsia="Times New Roman" w:hAnsi="Calibri" w:cs="Calibri"/>
          <w:sz w:val="24"/>
          <w:szCs w:val="24"/>
        </w:rPr>
        <w:t>ο δεύτερο εξάμηνο του 2023</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r>
        <w:rPr>
          <w:rFonts w:ascii="Calibri" w:eastAsia="Times New Roman" w:hAnsi="Calibri" w:cs="Calibri"/>
          <w:sz w:val="24"/>
          <w:szCs w:val="24"/>
        </w:rPr>
        <w:t xml:space="preserve">το 37,2% των μικρών και πολύ μικρών επιχειρήσεων δήλωσε πως πραγματοποίησε κάποιας μορφής επένδυση. </w:t>
      </w:r>
    </w:p>
    <w:p w14:paraId="0748ECE8" w14:textId="5F4489FC" w:rsidR="009F1277" w:rsidRDefault="00B715BE"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Ειδικότερα, α</w:t>
      </w:r>
      <w:r w:rsidR="00A7536F" w:rsidRPr="00A7536F">
        <w:rPr>
          <w:rFonts w:ascii="Calibri" w:eastAsia="Times New Roman" w:hAnsi="Calibri" w:cs="Calibri"/>
          <w:sz w:val="24"/>
          <w:szCs w:val="24"/>
        </w:rPr>
        <w:t xml:space="preserve">πό τα ευρήματα της παρούσας έρευνας προέκυψε ότι το 21,6% των μικρών και πολύ μικρών επιχειρήσεων πραγματοποίησε </w:t>
      </w:r>
      <w:r>
        <w:rPr>
          <w:rFonts w:ascii="Calibri" w:eastAsia="Times New Roman" w:hAnsi="Calibri" w:cs="Calibri"/>
          <w:sz w:val="24"/>
          <w:szCs w:val="24"/>
        </w:rPr>
        <w:t xml:space="preserve">επενδύσεις σε </w:t>
      </w:r>
      <w:r w:rsidR="00352BE5">
        <w:rPr>
          <w:rFonts w:ascii="Calibri" w:eastAsia="Times New Roman" w:hAnsi="Calibri" w:cs="Calibri"/>
          <w:sz w:val="24"/>
          <w:szCs w:val="24"/>
        </w:rPr>
        <w:t>τ</w:t>
      </w:r>
      <w:r w:rsidR="00A7536F" w:rsidRPr="00A7536F">
        <w:rPr>
          <w:rFonts w:ascii="Calibri" w:eastAsia="Times New Roman" w:hAnsi="Calibri" w:cs="Calibri"/>
          <w:sz w:val="24"/>
          <w:szCs w:val="24"/>
        </w:rPr>
        <w:t>εχνολογικό εξοπλισμό και ψηφιακές τεχνολογίες</w:t>
      </w:r>
      <w:r w:rsidR="00EE3DCA">
        <w:rPr>
          <w:rFonts w:ascii="Calibri" w:eastAsia="Times New Roman" w:hAnsi="Calibri" w:cs="Calibri"/>
          <w:sz w:val="24"/>
          <w:szCs w:val="24"/>
        </w:rPr>
        <w:t xml:space="preserve"> </w:t>
      </w:r>
      <w:r w:rsidR="00A7536F" w:rsidRPr="00A7536F">
        <w:rPr>
          <w:rFonts w:ascii="Calibri" w:eastAsia="Times New Roman" w:hAnsi="Calibri" w:cs="Calibri"/>
          <w:sz w:val="24"/>
          <w:szCs w:val="24"/>
        </w:rPr>
        <w:t>(π.χ. λογισμικό, ψηφιακέ</w:t>
      </w:r>
      <w:r>
        <w:rPr>
          <w:rFonts w:ascii="Calibri" w:eastAsia="Times New Roman" w:hAnsi="Calibri" w:cs="Calibri"/>
          <w:sz w:val="24"/>
          <w:szCs w:val="24"/>
        </w:rPr>
        <w:t>ς συσκευές και εφαρμογές κ.λπ.), το 20,1% επενδύσεις σε μηχανολογικό εξοπλισμό και λοιπά μηχανήματα, το 9,9% σε κτιριακές εγκαταστάσεις και λοιπό εξοπλισμό και το 8,6% σε κατάρτιση και εκπαίδευση προσωπικού</w:t>
      </w:r>
      <w:r w:rsidR="00A7536F" w:rsidRPr="00A7536F">
        <w:rPr>
          <w:rFonts w:ascii="Calibri" w:eastAsia="Times New Roman" w:hAnsi="Calibri" w:cs="Calibri"/>
          <w:sz w:val="24"/>
          <w:szCs w:val="24"/>
        </w:rPr>
        <w:t xml:space="preserve">. </w:t>
      </w:r>
    </w:p>
    <w:p w14:paraId="153808AD" w14:textId="3EB72404" w:rsidR="009F1277" w:rsidRDefault="009F1277" w:rsidP="009F1277">
      <w:pPr>
        <w:spacing w:line="360" w:lineRule="auto"/>
        <w:jc w:val="both"/>
        <w:rPr>
          <w:rFonts w:ascii="Calibri" w:eastAsia="Times New Roman" w:hAnsi="Calibri" w:cs="Calibri"/>
          <w:sz w:val="24"/>
          <w:szCs w:val="24"/>
        </w:rPr>
      </w:pPr>
      <w:r>
        <w:rPr>
          <w:rFonts w:ascii="Calibri" w:eastAsia="Times New Roman" w:hAnsi="Calibri" w:cs="Calibri"/>
          <w:sz w:val="24"/>
          <w:szCs w:val="24"/>
        </w:rPr>
        <w:t xml:space="preserve">Τα </w:t>
      </w:r>
      <w:r w:rsidR="00A7536F" w:rsidRPr="00A7536F">
        <w:rPr>
          <w:rFonts w:ascii="Calibri" w:eastAsia="Times New Roman" w:hAnsi="Calibri" w:cs="Calibri"/>
          <w:sz w:val="24"/>
          <w:szCs w:val="24"/>
        </w:rPr>
        <w:t>ποσοστά</w:t>
      </w:r>
      <w:r>
        <w:rPr>
          <w:rFonts w:ascii="Calibri" w:eastAsia="Times New Roman" w:hAnsi="Calibri" w:cs="Calibri"/>
          <w:sz w:val="24"/>
          <w:szCs w:val="24"/>
        </w:rPr>
        <w:t xml:space="preserve"> των επιχειρήσεων που πραγματοποίησαν επενδύσεις για τεχνολογικό εξοπλισμό και ψηφιακές τεχνολογίες</w:t>
      </w:r>
      <w:r w:rsidR="00A7536F" w:rsidRPr="00A7536F">
        <w:rPr>
          <w:rFonts w:ascii="Calibri" w:eastAsia="Times New Roman" w:hAnsi="Calibri" w:cs="Calibri"/>
          <w:sz w:val="24"/>
          <w:szCs w:val="24"/>
        </w:rPr>
        <w:t xml:space="preserve"> είναι υψηλότερα στον τομέα των </w:t>
      </w:r>
      <w:r w:rsidR="00352BE5">
        <w:rPr>
          <w:rFonts w:ascii="Calibri" w:eastAsia="Times New Roman" w:hAnsi="Calibri" w:cs="Calibri"/>
          <w:sz w:val="24"/>
          <w:szCs w:val="24"/>
        </w:rPr>
        <w:t>υ</w:t>
      </w:r>
      <w:r w:rsidR="00A7536F" w:rsidRPr="00A7536F">
        <w:rPr>
          <w:rFonts w:ascii="Calibri" w:eastAsia="Times New Roman" w:hAnsi="Calibri" w:cs="Calibri"/>
          <w:sz w:val="24"/>
          <w:szCs w:val="24"/>
        </w:rPr>
        <w:t>πηρεσιών (27,4%),</w:t>
      </w:r>
      <w:r w:rsidR="00B715BE">
        <w:rPr>
          <w:rFonts w:ascii="Calibri" w:eastAsia="Times New Roman" w:hAnsi="Calibri" w:cs="Calibri"/>
          <w:sz w:val="24"/>
          <w:szCs w:val="24"/>
        </w:rPr>
        <w:t xml:space="preserve"> και</w:t>
      </w:r>
      <w:r w:rsidR="00A7536F" w:rsidRPr="00A7536F">
        <w:rPr>
          <w:rFonts w:ascii="Calibri" w:eastAsia="Times New Roman" w:hAnsi="Calibri" w:cs="Calibri"/>
          <w:sz w:val="24"/>
          <w:szCs w:val="24"/>
        </w:rPr>
        <w:t xml:space="preserve"> ακολουθεί ο τομέας της </w:t>
      </w:r>
      <w:r w:rsidR="00352BE5">
        <w:rPr>
          <w:rFonts w:ascii="Calibri" w:eastAsia="Times New Roman" w:hAnsi="Calibri" w:cs="Calibri"/>
          <w:sz w:val="24"/>
          <w:szCs w:val="24"/>
        </w:rPr>
        <w:lastRenderedPageBreak/>
        <w:t>μ</w:t>
      </w:r>
      <w:r w:rsidR="00A7536F" w:rsidRPr="00A7536F">
        <w:rPr>
          <w:rFonts w:ascii="Calibri" w:eastAsia="Times New Roman" w:hAnsi="Calibri" w:cs="Calibri"/>
          <w:sz w:val="24"/>
          <w:szCs w:val="24"/>
        </w:rPr>
        <w:t xml:space="preserve">εταποίησης (20%) </w:t>
      </w:r>
      <w:r w:rsidR="00B715BE">
        <w:rPr>
          <w:rFonts w:ascii="Calibri" w:eastAsia="Times New Roman" w:hAnsi="Calibri" w:cs="Calibri"/>
          <w:sz w:val="24"/>
          <w:szCs w:val="24"/>
        </w:rPr>
        <w:t xml:space="preserve">και </w:t>
      </w:r>
      <w:r w:rsidR="00A7536F" w:rsidRPr="00A7536F">
        <w:rPr>
          <w:rFonts w:ascii="Calibri" w:eastAsia="Times New Roman" w:hAnsi="Calibri" w:cs="Calibri"/>
          <w:sz w:val="24"/>
          <w:szCs w:val="24"/>
        </w:rPr>
        <w:t xml:space="preserve">του </w:t>
      </w:r>
      <w:r w:rsidR="00352BE5">
        <w:rPr>
          <w:rFonts w:ascii="Calibri" w:eastAsia="Times New Roman" w:hAnsi="Calibri" w:cs="Calibri"/>
          <w:sz w:val="24"/>
          <w:szCs w:val="24"/>
        </w:rPr>
        <w:t>ε</w:t>
      </w:r>
      <w:r w:rsidR="00A7536F" w:rsidRPr="00A7536F">
        <w:rPr>
          <w:rFonts w:ascii="Calibri" w:eastAsia="Times New Roman" w:hAnsi="Calibri" w:cs="Calibri"/>
          <w:sz w:val="24"/>
          <w:szCs w:val="24"/>
        </w:rPr>
        <w:t xml:space="preserve">μπορίου (16,6%). </w:t>
      </w:r>
      <w:r>
        <w:rPr>
          <w:rFonts w:ascii="Calibri" w:eastAsia="Times New Roman" w:hAnsi="Calibri" w:cs="Calibri"/>
          <w:sz w:val="24"/>
          <w:szCs w:val="24"/>
        </w:rPr>
        <w:t xml:space="preserve">Επιπλέον, </w:t>
      </w:r>
      <w:r w:rsidR="00A7536F" w:rsidRPr="00A7536F">
        <w:rPr>
          <w:rFonts w:ascii="Calibri" w:eastAsia="Times New Roman" w:hAnsi="Calibri" w:cs="Calibri"/>
          <w:sz w:val="24"/>
          <w:szCs w:val="24"/>
        </w:rPr>
        <w:t>εξακολουθεί να καταγράφεται έντονη θετική συσχέτιση με το μέγεθος των επιχειρήσεων</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καθώς το 35,4% με κύκλο εργασιών άνω των 300.000 </w:t>
      </w:r>
      <w:r w:rsidR="00352BE5">
        <w:rPr>
          <w:rFonts w:ascii="Calibri" w:eastAsia="Times New Roman" w:hAnsi="Calibri" w:cs="Calibri"/>
          <w:sz w:val="24"/>
          <w:szCs w:val="24"/>
        </w:rPr>
        <w:t>€</w:t>
      </w:r>
      <w:r w:rsidR="00352BE5" w:rsidRPr="00A7536F">
        <w:rPr>
          <w:rFonts w:ascii="Calibri" w:eastAsia="Times New Roman" w:hAnsi="Calibri" w:cs="Calibri"/>
          <w:sz w:val="24"/>
          <w:szCs w:val="24"/>
        </w:rPr>
        <w:t xml:space="preserve"> </w:t>
      </w:r>
      <w:r w:rsidR="00A7536F" w:rsidRPr="00A7536F">
        <w:rPr>
          <w:rFonts w:ascii="Calibri" w:eastAsia="Times New Roman" w:hAnsi="Calibri" w:cs="Calibri"/>
          <w:sz w:val="24"/>
          <w:szCs w:val="24"/>
        </w:rPr>
        <w:t>πραγματοποίησ</w:t>
      </w:r>
      <w:r w:rsidR="00352BE5">
        <w:rPr>
          <w:rFonts w:ascii="Calibri" w:eastAsia="Times New Roman" w:hAnsi="Calibri" w:cs="Calibri"/>
          <w:sz w:val="24"/>
          <w:szCs w:val="24"/>
        </w:rPr>
        <w:t>ε</w:t>
      </w:r>
      <w:r w:rsidR="00A7536F" w:rsidRPr="00A7536F">
        <w:rPr>
          <w:rFonts w:ascii="Calibri" w:eastAsia="Times New Roman" w:hAnsi="Calibri" w:cs="Calibri"/>
          <w:sz w:val="24"/>
          <w:szCs w:val="24"/>
        </w:rPr>
        <w:t xml:space="preserve"> </w:t>
      </w:r>
      <w:r w:rsidR="00B715BE">
        <w:rPr>
          <w:rFonts w:ascii="Calibri" w:eastAsia="Times New Roman" w:hAnsi="Calibri" w:cs="Calibri"/>
          <w:sz w:val="24"/>
          <w:szCs w:val="24"/>
        </w:rPr>
        <w:t>επενδύσεις</w:t>
      </w:r>
      <w:r w:rsidR="00A7536F" w:rsidRPr="00A7536F">
        <w:rPr>
          <w:rFonts w:ascii="Calibri" w:eastAsia="Times New Roman" w:hAnsi="Calibri" w:cs="Calibri"/>
          <w:sz w:val="24"/>
          <w:szCs w:val="24"/>
        </w:rPr>
        <w:t xml:space="preserve"> σε «Τεχνολογικό εξοπλισμό και ψηφιακές τεχνολογίες», έναντι </w:t>
      </w:r>
      <w:bookmarkStart w:id="1" w:name="_Hlk161135996"/>
      <w:r w:rsidR="00A7536F" w:rsidRPr="00A7536F">
        <w:rPr>
          <w:rFonts w:ascii="Calibri" w:eastAsia="Times New Roman" w:hAnsi="Calibri" w:cs="Calibri"/>
          <w:sz w:val="24"/>
          <w:szCs w:val="24"/>
        </w:rPr>
        <w:t xml:space="preserve">16,6% των επιχειρήσεων με κύκλο εργασιών έως 50.000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17,7% των επιχειρήσεων με κύκλο εργασιών 50.000-100.000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και 22,1% των επιχειρήσεων με κύκλο εργασιών 100.000-300.000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bookmarkEnd w:id="1"/>
      <w:r w:rsidRPr="00A7536F">
        <w:rPr>
          <w:rFonts w:ascii="Calibri" w:eastAsia="Times New Roman" w:hAnsi="Calibri" w:cs="Calibri"/>
          <w:sz w:val="24"/>
          <w:szCs w:val="24"/>
        </w:rPr>
        <w:t>Οι αποκλίσεις είναι ακόμα πιο έντονες όταν η επένδυση απαιτεί μεγαλύτερο κεφάλαιο, όπως για μηχανολογικό εξοπλισμό – οχήματα</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ή κτιριακές εγκαταστάσεις και λοιπό εξοπλισμό, όπου οι επιχειρήσεις με κύκλο εργασιών άνω των 300.000</w:t>
      </w:r>
      <w:r w:rsidR="00352BE5">
        <w:rPr>
          <w:rFonts w:ascii="Calibri" w:eastAsia="Times New Roman" w:hAnsi="Calibri" w:cs="Calibri"/>
          <w:sz w:val="24"/>
          <w:szCs w:val="24"/>
        </w:rPr>
        <w:t xml:space="preserve"> </w:t>
      </w:r>
      <w:r w:rsidRPr="00A7536F">
        <w:rPr>
          <w:rFonts w:ascii="Calibri" w:eastAsia="Times New Roman" w:hAnsi="Calibri" w:cs="Calibri"/>
          <w:sz w:val="24"/>
          <w:szCs w:val="24"/>
        </w:rPr>
        <w:t>€ πραγματοποίησαν τέτοιου τύπου επενδύσεις σε ποσοστό 38</w:t>
      </w:r>
      <w:r w:rsidR="00352BE5">
        <w:rPr>
          <w:rFonts w:ascii="Calibri" w:eastAsia="Times New Roman" w:hAnsi="Calibri" w:cs="Calibri"/>
          <w:sz w:val="24"/>
          <w:szCs w:val="24"/>
        </w:rPr>
        <w:t>,</w:t>
      </w:r>
      <w:r w:rsidRPr="00A7536F">
        <w:rPr>
          <w:rFonts w:ascii="Calibri" w:eastAsia="Times New Roman" w:hAnsi="Calibri" w:cs="Calibri"/>
          <w:sz w:val="24"/>
          <w:szCs w:val="24"/>
        </w:rPr>
        <w:t>8% και 23,8%</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αντίστοιχα. </w:t>
      </w:r>
      <w:r>
        <w:rPr>
          <w:rFonts w:ascii="Calibri" w:eastAsia="Times New Roman" w:hAnsi="Calibri" w:cs="Calibri"/>
          <w:sz w:val="24"/>
          <w:szCs w:val="24"/>
        </w:rPr>
        <w:t>Από την άλλη μεριά, ο</w:t>
      </w:r>
      <w:r w:rsidRPr="00A7536F">
        <w:rPr>
          <w:rFonts w:ascii="Calibri" w:eastAsia="Times New Roman" w:hAnsi="Calibri" w:cs="Calibri"/>
          <w:sz w:val="24"/>
          <w:szCs w:val="24"/>
        </w:rPr>
        <w:t>ι επιχειρήσεις με κύκλο εργασιών έως 50.000</w:t>
      </w:r>
      <w:r w:rsidR="00352BE5">
        <w:rPr>
          <w:rFonts w:ascii="Calibri" w:eastAsia="Times New Roman" w:hAnsi="Calibri" w:cs="Calibri"/>
          <w:sz w:val="24"/>
          <w:szCs w:val="24"/>
        </w:rPr>
        <w:t xml:space="preserve"> </w:t>
      </w:r>
      <w:r w:rsidRPr="00A7536F">
        <w:rPr>
          <w:rFonts w:ascii="Calibri" w:eastAsia="Times New Roman" w:hAnsi="Calibri" w:cs="Calibri"/>
          <w:sz w:val="24"/>
          <w:szCs w:val="24"/>
        </w:rPr>
        <w:t>€ επένδυσαν σε ποσοστό 10,3% και 2,8% σε μηχανολογικό εξοπλισμό και κτιριακές εγκαταστάσεις</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w:t>
      </w:r>
      <w:r>
        <w:rPr>
          <w:rFonts w:ascii="Calibri" w:eastAsia="Times New Roman" w:hAnsi="Calibri" w:cs="Calibri"/>
          <w:sz w:val="24"/>
          <w:szCs w:val="24"/>
        </w:rPr>
        <w:t>αντίστοιχα</w:t>
      </w:r>
      <w:r w:rsidRPr="00A7536F">
        <w:rPr>
          <w:rFonts w:ascii="Calibri" w:eastAsia="Times New Roman" w:hAnsi="Calibri" w:cs="Calibri"/>
          <w:sz w:val="24"/>
          <w:szCs w:val="24"/>
        </w:rPr>
        <w:t xml:space="preserve">, </w:t>
      </w:r>
      <w:r>
        <w:rPr>
          <w:rFonts w:ascii="Calibri" w:eastAsia="Times New Roman" w:hAnsi="Calibri" w:cs="Calibri"/>
          <w:sz w:val="24"/>
          <w:szCs w:val="24"/>
        </w:rPr>
        <w:t xml:space="preserve">όπως και </w:t>
      </w:r>
      <w:r w:rsidRPr="00A7536F">
        <w:rPr>
          <w:rFonts w:ascii="Calibri" w:eastAsia="Times New Roman" w:hAnsi="Calibri" w:cs="Calibri"/>
          <w:sz w:val="24"/>
          <w:szCs w:val="24"/>
        </w:rPr>
        <w:t>το 18,3% και 6,7%</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w:t>
      </w:r>
      <w:r>
        <w:rPr>
          <w:rFonts w:ascii="Calibri" w:eastAsia="Times New Roman" w:hAnsi="Calibri" w:cs="Calibri"/>
          <w:sz w:val="24"/>
          <w:szCs w:val="24"/>
        </w:rPr>
        <w:t>αντίστοιχα</w:t>
      </w:r>
      <w:r w:rsidR="00352BE5">
        <w:rPr>
          <w:rFonts w:ascii="Calibri" w:eastAsia="Times New Roman" w:hAnsi="Calibri" w:cs="Calibri"/>
          <w:sz w:val="24"/>
          <w:szCs w:val="24"/>
        </w:rPr>
        <w:t>,</w:t>
      </w:r>
      <w:r>
        <w:rPr>
          <w:rFonts w:ascii="Calibri" w:eastAsia="Times New Roman" w:hAnsi="Calibri" w:cs="Calibri"/>
          <w:sz w:val="24"/>
          <w:szCs w:val="24"/>
        </w:rPr>
        <w:t xml:space="preserve"> </w:t>
      </w:r>
      <w:r w:rsidRPr="00A7536F">
        <w:rPr>
          <w:rFonts w:ascii="Calibri" w:eastAsia="Times New Roman" w:hAnsi="Calibri" w:cs="Calibri"/>
          <w:sz w:val="24"/>
          <w:szCs w:val="24"/>
        </w:rPr>
        <w:t xml:space="preserve">των επιχειρήσεων με κύκλο εργασιών 50.000-100.000 </w:t>
      </w:r>
      <w:r w:rsidR="00352BE5">
        <w:rPr>
          <w:rFonts w:ascii="Calibri" w:eastAsia="Times New Roman" w:hAnsi="Calibri" w:cs="Calibri"/>
          <w:sz w:val="24"/>
          <w:szCs w:val="24"/>
        </w:rPr>
        <w:t>€</w:t>
      </w:r>
      <w:r>
        <w:rPr>
          <w:rFonts w:ascii="Calibri" w:eastAsia="Times New Roman" w:hAnsi="Calibri" w:cs="Calibri"/>
          <w:sz w:val="24"/>
          <w:szCs w:val="24"/>
        </w:rPr>
        <w:t>, αλλά</w:t>
      </w:r>
      <w:r w:rsidRPr="00A7536F">
        <w:rPr>
          <w:rFonts w:ascii="Calibri" w:eastAsia="Times New Roman" w:hAnsi="Calibri" w:cs="Calibri"/>
          <w:sz w:val="24"/>
          <w:szCs w:val="24"/>
        </w:rPr>
        <w:t xml:space="preserve"> και το 22,1% και 11,4%</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αντίστοιχα</w:t>
      </w:r>
      <w:r w:rsidR="00352BE5">
        <w:rPr>
          <w:rFonts w:ascii="Calibri" w:eastAsia="Times New Roman" w:hAnsi="Calibri" w:cs="Calibri"/>
          <w:sz w:val="24"/>
          <w:szCs w:val="24"/>
        </w:rPr>
        <w:t>,</w:t>
      </w:r>
      <w:r w:rsidRPr="00A7536F">
        <w:rPr>
          <w:rFonts w:ascii="Calibri" w:eastAsia="Times New Roman" w:hAnsi="Calibri" w:cs="Calibri"/>
          <w:sz w:val="24"/>
          <w:szCs w:val="24"/>
        </w:rPr>
        <w:t xml:space="preserve"> των επιχειρήσεων με κύκλο </w:t>
      </w:r>
      <w:r>
        <w:rPr>
          <w:rFonts w:ascii="Calibri" w:eastAsia="Times New Roman" w:hAnsi="Calibri" w:cs="Calibri"/>
          <w:sz w:val="24"/>
          <w:szCs w:val="24"/>
        </w:rPr>
        <w:t xml:space="preserve">εργασιών 100.000-300.000 </w:t>
      </w:r>
      <w:r w:rsidR="00352BE5">
        <w:rPr>
          <w:rFonts w:ascii="Calibri" w:eastAsia="Times New Roman" w:hAnsi="Calibri" w:cs="Calibri"/>
          <w:sz w:val="24"/>
          <w:szCs w:val="24"/>
        </w:rPr>
        <w:t>€</w:t>
      </w:r>
      <w:r>
        <w:rPr>
          <w:rFonts w:ascii="Calibri" w:eastAsia="Times New Roman" w:hAnsi="Calibri" w:cs="Calibri"/>
          <w:sz w:val="24"/>
          <w:szCs w:val="24"/>
        </w:rPr>
        <w:t xml:space="preserve">. </w:t>
      </w:r>
    </w:p>
    <w:p w14:paraId="1146D3A9" w14:textId="77777777" w:rsidR="00033B51" w:rsidRDefault="009F1277" w:rsidP="00DE77D0">
      <w:pPr>
        <w:spacing w:line="360" w:lineRule="auto"/>
        <w:jc w:val="both"/>
        <w:rPr>
          <w:rFonts w:ascii="Calibri" w:eastAsia="Times New Roman" w:hAnsi="Calibri" w:cs="Calibri"/>
          <w:sz w:val="24"/>
          <w:szCs w:val="24"/>
        </w:rPr>
      </w:pPr>
      <w:r>
        <w:rPr>
          <w:rFonts w:ascii="Calibri" w:eastAsia="Times New Roman" w:hAnsi="Calibri" w:cs="Calibri"/>
          <w:sz w:val="24"/>
          <w:szCs w:val="24"/>
        </w:rPr>
        <w:t>Σ</w:t>
      </w:r>
      <w:r w:rsidR="00B715BE">
        <w:rPr>
          <w:rFonts w:ascii="Calibri" w:eastAsia="Times New Roman" w:hAnsi="Calibri" w:cs="Calibri"/>
          <w:sz w:val="24"/>
          <w:szCs w:val="24"/>
        </w:rPr>
        <w:t>ε</w:t>
      </w:r>
      <w:r w:rsidR="00B715BE" w:rsidRPr="00A7536F">
        <w:rPr>
          <w:rFonts w:ascii="Calibri" w:eastAsia="Times New Roman" w:hAnsi="Calibri" w:cs="Calibri"/>
          <w:sz w:val="24"/>
          <w:szCs w:val="24"/>
        </w:rPr>
        <w:t xml:space="preserve"> μηχανολογικό εξοπλισμό και λοιπά μηχανήματα, επενδύσεις πραγματοποίησε το δεύτερο εξάμηνο του 2023 το 28,1% των επιχειρήσεων στον τομέα της μεταποίησης, το 21,7% του τομέα των υπηρεσιών, το 13,6% των</w:t>
      </w:r>
      <w:r w:rsidR="00EE3DCA">
        <w:rPr>
          <w:rFonts w:ascii="Calibri" w:eastAsia="Times New Roman" w:hAnsi="Calibri" w:cs="Calibri"/>
          <w:sz w:val="24"/>
          <w:szCs w:val="24"/>
        </w:rPr>
        <w:t xml:space="preserve"> </w:t>
      </w:r>
      <w:r w:rsidR="00B715BE" w:rsidRPr="00A7536F">
        <w:rPr>
          <w:rFonts w:ascii="Calibri" w:eastAsia="Times New Roman" w:hAnsi="Calibri" w:cs="Calibri"/>
          <w:sz w:val="24"/>
          <w:szCs w:val="24"/>
        </w:rPr>
        <w:t xml:space="preserve">εμπορικών επιχειρήσεων. Επένδυση κτιριακών εγκαταστάσεων και λοιπού εξοπλισμού υλοποίησε το 11,8% του τομέα υπηρεσιών, το 9,7% του τομέα μεταποίησης και το 7,9% του τομέα του εμπορίου. </w:t>
      </w:r>
    </w:p>
    <w:p w14:paraId="02101D0D" w14:textId="6532C732" w:rsidR="00A7536F" w:rsidRPr="00A7536F" w:rsidRDefault="009F1277" w:rsidP="00DE77D0">
      <w:pPr>
        <w:spacing w:line="360" w:lineRule="auto"/>
        <w:jc w:val="both"/>
        <w:rPr>
          <w:rFonts w:ascii="Calibri" w:eastAsia="Times New Roman" w:hAnsi="Calibri" w:cs="Calibri"/>
          <w:sz w:val="24"/>
          <w:szCs w:val="24"/>
        </w:rPr>
      </w:pPr>
      <w:r>
        <w:rPr>
          <w:rFonts w:ascii="Calibri" w:eastAsia="Times New Roman" w:hAnsi="Calibri" w:cs="Calibri"/>
          <w:sz w:val="24"/>
          <w:szCs w:val="24"/>
        </w:rPr>
        <w:t>Τέλος, θετική σχέση με το μέγεθος των επιχειρήσεων παρουσιάζουν και οι</w:t>
      </w:r>
      <w:r w:rsidR="00A7536F" w:rsidRPr="00A7536F">
        <w:rPr>
          <w:rFonts w:ascii="Calibri" w:eastAsia="Times New Roman" w:hAnsi="Calibri" w:cs="Calibri"/>
          <w:sz w:val="24"/>
          <w:szCs w:val="24"/>
        </w:rPr>
        <w:t xml:space="preserve"> επενδύσεις </w:t>
      </w:r>
      <w:r>
        <w:rPr>
          <w:rFonts w:ascii="Calibri" w:eastAsia="Times New Roman" w:hAnsi="Calibri" w:cs="Calibri"/>
          <w:sz w:val="24"/>
          <w:szCs w:val="24"/>
        </w:rPr>
        <w:t>για κατάρτιση-εκπαίδευση</w:t>
      </w:r>
      <w:r w:rsidR="00A7536F" w:rsidRPr="00A7536F">
        <w:rPr>
          <w:rFonts w:ascii="Calibri" w:eastAsia="Times New Roman" w:hAnsi="Calibri" w:cs="Calibri"/>
          <w:sz w:val="24"/>
          <w:szCs w:val="24"/>
        </w:rPr>
        <w:t xml:space="preserve"> προσωπικού</w:t>
      </w:r>
      <w:r w:rsidR="00F468AA">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r>
        <w:rPr>
          <w:rFonts w:ascii="Calibri" w:eastAsia="Times New Roman" w:hAnsi="Calibri" w:cs="Calibri"/>
          <w:sz w:val="24"/>
          <w:szCs w:val="24"/>
        </w:rPr>
        <w:t>καθώς με βάση τα ευρήματα της έρευνας προέκυψε ότι επενδύσεις σε εκπαίδευση-κατάρτιση προσωπικού πραγματοποίησε το 23,8% των επιχειρήσεων με κύκλο εργασιών άνω των 300.000</w:t>
      </w:r>
      <w:r w:rsidR="00F468AA">
        <w:rPr>
          <w:rFonts w:ascii="Calibri" w:eastAsia="Times New Roman" w:hAnsi="Calibri" w:cs="Calibri"/>
          <w:sz w:val="24"/>
          <w:szCs w:val="24"/>
        </w:rPr>
        <w:t xml:space="preserve"> </w:t>
      </w:r>
      <w:r>
        <w:rPr>
          <w:rFonts w:ascii="Calibri" w:eastAsia="Times New Roman" w:hAnsi="Calibri" w:cs="Calibri"/>
          <w:sz w:val="24"/>
          <w:szCs w:val="24"/>
        </w:rPr>
        <w:t xml:space="preserve">€, έναντι 8,1%, 4,3% και 4,5% </w:t>
      </w:r>
      <w:r w:rsidR="00A7536F" w:rsidRPr="00A7536F">
        <w:rPr>
          <w:rFonts w:ascii="Calibri" w:eastAsia="Times New Roman" w:hAnsi="Calibri" w:cs="Calibri"/>
          <w:sz w:val="24"/>
          <w:szCs w:val="24"/>
        </w:rPr>
        <w:t xml:space="preserve">των επιχειρήσεων με κύκλο εργασιών </w:t>
      </w:r>
      <w:r w:rsidR="007A0614">
        <w:rPr>
          <w:rFonts w:ascii="Calibri" w:eastAsia="Times New Roman" w:hAnsi="Calibri" w:cs="Calibri"/>
          <w:sz w:val="24"/>
          <w:szCs w:val="24"/>
        </w:rPr>
        <w:t>100.000</w:t>
      </w:r>
      <w:r w:rsidR="00F468AA">
        <w:rPr>
          <w:rFonts w:ascii="Calibri" w:eastAsia="Times New Roman" w:hAnsi="Calibri" w:cs="Calibri"/>
          <w:sz w:val="24"/>
          <w:szCs w:val="24"/>
        </w:rPr>
        <w:t>-</w:t>
      </w:r>
      <w:r w:rsidR="007A0614">
        <w:rPr>
          <w:rFonts w:ascii="Calibri" w:eastAsia="Times New Roman" w:hAnsi="Calibri" w:cs="Calibri"/>
          <w:sz w:val="24"/>
          <w:szCs w:val="24"/>
        </w:rPr>
        <w:t>300.000</w:t>
      </w:r>
      <w:r w:rsidR="00F468AA">
        <w:rPr>
          <w:rFonts w:ascii="Calibri" w:eastAsia="Times New Roman" w:hAnsi="Calibri" w:cs="Calibri"/>
          <w:sz w:val="24"/>
          <w:szCs w:val="24"/>
        </w:rPr>
        <w:t xml:space="preserve"> </w:t>
      </w:r>
      <w:r w:rsidR="007A0614">
        <w:rPr>
          <w:rFonts w:ascii="Calibri" w:eastAsia="Times New Roman" w:hAnsi="Calibri" w:cs="Calibri"/>
          <w:sz w:val="24"/>
          <w:szCs w:val="24"/>
        </w:rPr>
        <w:t>€,</w:t>
      </w:r>
      <w:r w:rsidR="00EE3DCA">
        <w:rPr>
          <w:rFonts w:ascii="Calibri" w:eastAsia="Times New Roman" w:hAnsi="Calibri" w:cs="Calibri"/>
          <w:sz w:val="24"/>
          <w:szCs w:val="24"/>
        </w:rPr>
        <w:t xml:space="preserve"> </w:t>
      </w:r>
      <w:r w:rsidR="00A7536F" w:rsidRPr="00A7536F">
        <w:rPr>
          <w:rFonts w:ascii="Calibri" w:eastAsia="Times New Roman" w:hAnsi="Calibri" w:cs="Calibri"/>
          <w:sz w:val="24"/>
          <w:szCs w:val="24"/>
        </w:rPr>
        <w:t xml:space="preserve"> </w:t>
      </w:r>
      <w:r w:rsidR="007A0614">
        <w:rPr>
          <w:rFonts w:ascii="Calibri" w:eastAsia="Times New Roman" w:hAnsi="Calibri" w:cs="Calibri"/>
          <w:sz w:val="24"/>
          <w:szCs w:val="24"/>
        </w:rPr>
        <w:t>50.000-100.000</w:t>
      </w:r>
      <w:r w:rsidR="00F468AA">
        <w:rPr>
          <w:rFonts w:ascii="Calibri" w:eastAsia="Times New Roman" w:hAnsi="Calibri" w:cs="Calibri"/>
          <w:sz w:val="24"/>
          <w:szCs w:val="24"/>
        </w:rPr>
        <w:t xml:space="preserve"> </w:t>
      </w:r>
      <w:r w:rsidR="007A0614">
        <w:rPr>
          <w:rFonts w:ascii="Calibri" w:eastAsia="Times New Roman" w:hAnsi="Calibri" w:cs="Calibri"/>
          <w:sz w:val="24"/>
          <w:szCs w:val="24"/>
        </w:rPr>
        <w:t>€ και έως 50.000 €</w:t>
      </w:r>
      <w:r w:rsidR="00F468AA">
        <w:rPr>
          <w:rFonts w:ascii="Calibri" w:eastAsia="Times New Roman" w:hAnsi="Calibri" w:cs="Calibri"/>
          <w:sz w:val="24"/>
          <w:szCs w:val="24"/>
        </w:rPr>
        <w:t>,</w:t>
      </w:r>
      <w:r w:rsidR="007A0614">
        <w:rPr>
          <w:rFonts w:ascii="Calibri" w:eastAsia="Times New Roman" w:hAnsi="Calibri" w:cs="Calibri"/>
          <w:sz w:val="24"/>
          <w:szCs w:val="24"/>
        </w:rPr>
        <w:t xml:space="preserve"> αντίστοιχα. </w:t>
      </w:r>
    </w:p>
    <w:p w14:paraId="3F372EE6" w14:textId="77777777" w:rsidR="00A7536F" w:rsidRPr="00A7536F"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Times New Roman"/>
          <w:noProof/>
        </w:rPr>
        <w:lastRenderedPageBreak/>
        <w:drawing>
          <wp:inline distT="0" distB="0" distL="0" distR="0" wp14:anchorId="7BEB522C" wp14:editId="20D47C19">
            <wp:extent cx="6631388" cy="2997641"/>
            <wp:effectExtent l="0" t="0" r="17145" b="1270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0F09B8" w14:textId="6810A9F8" w:rsidR="00A7536F" w:rsidRPr="00A7536F"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Αναφορικά με το ύψος της επένδυσης, το 26,2% των επιχειρήσεων πραγματοποίησε επενδύσεις έως 2.000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22,9% από 2.001 έως 5.000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11,7% από 5.001 έως 10.000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10,4% από 10.001 έως 20.000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και το 10,7% από 20.001 έως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r w:rsidR="007A0614">
        <w:rPr>
          <w:rFonts w:ascii="Calibri" w:eastAsia="Times New Roman" w:hAnsi="Calibri" w:cs="Calibri"/>
          <w:sz w:val="24"/>
          <w:szCs w:val="24"/>
        </w:rPr>
        <w:t>Από τα ευρήματα αυτά φαίνεται ότι το ύψος της επένδυσης για σχεδόν 1 στις 2 επιχειρήσεις που πραγματοποίησ</w:t>
      </w:r>
      <w:r w:rsidR="00F468AA">
        <w:rPr>
          <w:rFonts w:ascii="Calibri" w:eastAsia="Times New Roman" w:hAnsi="Calibri" w:cs="Calibri"/>
          <w:sz w:val="24"/>
          <w:szCs w:val="24"/>
        </w:rPr>
        <w:t>ε</w:t>
      </w:r>
      <w:r w:rsidR="007A0614">
        <w:rPr>
          <w:rFonts w:ascii="Calibri" w:eastAsia="Times New Roman" w:hAnsi="Calibri" w:cs="Calibri"/>
          <w:sz w:val="24"/>
          <w:szCs w:val="24"/>
        </w:rPr>
        <w:t xml:space="preserve"> επενδύσεις το προηγούμενο εξάμηνο ήταν έως 5.000 €. </w:t>
      </w:r>
      <w:r w:rsidRPr="00A7536F">
        <w:rPr>
          <w:rFonts w:ascii="Calibri" w:eastAsia="Times New Roman" w:hAnsi="Calibri" w:cs="Calibri"/>
          <w:sz w:val="24"/>
          <w:szCs w:val="24"/>
        </w:rPr>
        <w:t xml:space="preserve">Τέλος, το 12,4% δήλωσε ότι η επένδυση που πραγματοποίησε το δεύτερο εξάμηνο του 2023 ήταν άνω των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p>
    <w:p w14:paraId="32F4B25C" w14:textId="1CA9C748" w:rsidR="00A7536F" w:rsidRPr="00A7536F"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Calibri"/>
          <w:sz w:val="24"/>
          <w:szCs w:val="24"/>
        </w:rPr>
        <w:t>Όσον αφορά την πηγή χρηματοδότησης των επενδύσεων, προκύπτει ότι τα ίδια κεφάλαια εξακολουθούν να αποτελούν τη βασική πηγή χρηματοδότησης για τις μικρές και πολύ μικρές επιχειρήσεις (Γράφημα 12).</w:t>
      </w:r>
      <w:r w:rsidR="00EE3DCA">
        <w:rPr>
          <w:rFonts w:ascii="Calibri" w:eastAsia="Times New Roman" w:hAnsi="Calibri" w:cs="Calibri"/>
          <w:sz w:val="24"/>
          <w:szCs w:val="24"/>
        </w:rPr>
        <w:t xml:space="preserve"> </w:t>
      </w:r>
      <w:r w:rsidRPr="00A7536F">
        <w:rPr>
          <w:rFonts w:ascii="Calibri" w:eastAsia="Times New Roman" w:hAnsi="Calibri" w:cs="Calibri"/>
          <w:sz w:val="24"/>
          <w:szCs w:val="24"/>
        </w:rPr>
        <w:t xml:space="preserve">Συγκριμένα, το 84,2% των επιχειρήσεων που πραγματοποίησε επενδύσεις τις χρηματοδότησε με ίδια κεφάλαια, το 5,7% μέσω προγραμμάτων ΕΣΠΑ και μόλις το 3,7% μέσω τραπεζικού δανεισμού. </w:t>
      </w:r>
    </w:p>
    <w:p w14:paraId="706B3714" w14:textId="3B7E3055" w:rsidR="00A7536F" w:rsidRPr="00A7536F"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Η πλειονότητα των μικρών και πολύ μικρών επιχειρήσεων εξακολουθεί να μην υποστηρίζεται από το τραπεζικό </w:t>
      </w:r>
      <w:r w:rsidR="007A0614">
        <w:rPr>
          <w:rFonts w:ascii="Calibri" w:eastAsia="Times New Roman" w:hAnsi="Calibri" w:cs="Calibri"/>
          <w:sz w:val="24"/>
          <w:szCs w:val="24"/>
        </w:rPr>
        <w:t>σύστημα και να στηρίζεται σε αυ</w:t>
      </w:r>
      <w:r w:rsidRPr="00A7536F">
        <w:rPr>
          <w:rFonts w:ascii="Calibri" w:eastAsia="Times New Roman" w:hAnsi="Calibri" w:cs="Calibri"/>
          <w:sz w:val="24"/>
          <w:szCs w:val="24"/>
        </w:rPr>
        <w:t>τοχρηματοδότηση για την ανάπτυξη, τον εκσυγχρονισμό και την επέκτασή τ</w:t>
      </w:r>
      <w:r w:rsidR="00F468AA">
        <w:rPr>
          <w:rFonts w:ascii="Calibri" w:eastAsia="Times New Roman" w:hAnsi="Calibri" w:cs="Calibri"/>
          <w:sz w:val="24"/>
          <w:szCs w:val="24"/>
        </w:rPr>
        <w:t>ης</w:t>
      </w:r>
      <w:r w:rsidRPr="00A7536F">
        <w:rPr>
          <w:rFonts w:ascii="Calibri" w:eastAsia="Times New Roman" w:hAnsi="Calibri" w:cs="Calibri"/>
          <w:sz w:val="24"/>
          <w:szCs w:val="24"/>
        </w:rPr>
        <w:t xml:space="preserve">. Η πρόσβαση στο </w:t>
      </w:r>
      <w:r w:rsidR="00F468AA" w:rsidRPr="00A7536F">
        <w:rPr>
          <w:rFonts w:ascii="Calibri" w:eastAsia="Times New Roman" w:hAnsi="Calibri" w:cs="Calibri"/>
          <w:sz w:val="24"/>
          <w:szCs w:val="24"/>
        </w:rPr>
        <w:t>χρηματο</w:t>
      </w:r>
      <w:r w:rsidR="00F468AA">
        <w:rPr>
          <w:rFonts w:ascii="Calibri" w:eastAsia="Times New Roman" w:hAnsi="Calibri" w:cs="Calibri"/>
          <w:sz w:val="24"/>
          <w:szCs w:val="24"/>
        </w:rPr>
        <w:t>πιστωτικό</w:t>
      </w:r>
      <w:r w:rsidR="00F468AA" w:rsidRPr="00A7536F">
        <w:rPr>
          <w:rFonts w:ascii="Calibri" w:eastAsia="Times New Roman" w:hAnsi="Calibri" w:cs="Calibri"/>
          <w:sz w:val="24"/>
          <w:szCs w:val="24"/>
        </w:rPr>
        <w:t xml:space="preserve"> </w:t>
      </w:r>
      <w:r w:rsidRPr="00A7536F">
        <w:rPr>
          <w:rFonts w:ascii="Calibri" w:eastAsia="Times New Roman" w:hAnsi="Calibri" w:cs="Calibri"/>
          <w:sz w:val="24"/>
          <w:szCs w:val="24"/>
        </w:rPr>
        <w:t xml:space="preserve">σύστημα παραμένει μείζον πρόβλημα για τις </w:t>
      </w:r>
      <w:proofErr w:type="spellStart"/>
      <w:r w:rsidRPr="00A7536F">
        <w:rPr>
          <w:rFonts w:ascii="Calibri" w:eastAsia="Times New Roman" w:hAnsi="Calibri" w:cs="Calibri"/>
          <w:sz w:val="24"/>
          <w:szCs w:val="24"/>
        </w:rPr>
        <w:t>ΜμΕ</w:t>
      </w:r>
      <w:proofErr w:type="spellEnd"/>
      <w:r w:rsidRPr="00A7536F">
        <w:rPr>
          <w:rFonts w:ascii="Calibri" w:eastAsia="Times New Roman" w:hAnsi="Calibri" w:cs="Calibri"/>
          <w:sz w:val="24"/>
          <w:szCs w:val="24"/>
        </w:rPr>
        <w:t>, γεγονός που περιορίζει τις δυνατότητες ανάπτυξης</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αλλά και ανταπόκρισης σε ενδεχόμενες κρίσεις. Όπως έχουμε επισημάνει και στην Έκθεση του ΙΜΕ ΓΣΕΒΕΕ 2022, ενώ παρατηρείται μ</w:t>
      </w:r>
      <w:r w:rsidR="00F468AA">
        <w:rPr>
          <w:rFonts w:ascii="Calibri" w:eastAsia="Times New Roman" w:hAnsi="Calibri" w:cs="Calibri"/>
          <w:sz w:val="24"/>
          <w:szCs w:val="24"/>
        </w:rPr>
        <w:t>ι</w:t>
      </w:r>
      <w:r w:rsidRPr="00A7536F">
        <w:rPr>
          <w:rFonts w:ascii="Calibri" w:eastAsia="Times New Roman" w:hAnsi="Calibri" w:cs="Calibri"/>
          <w:sz w:val="24"/>
          <w:szCs w:val="24"/>
        </w:rPr>
        <w:t>α αύξηση της χρηματοδότησης του ιδιωτικού τομέα από τις τράπεζες, η καθαρή χρηματοδότηση (πιστωτική επέκταση) προς τις μικρές επιχειρήσεις παραμένει σε αρνητικά επίπεδα και εξακολουθεί να συρρικνώνεται. Επιπροσθέτως</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όσες μικρές επιχειρήσεις έχουν πρόσβαση στην τραπεζική χρηματοδότηση αντιμετωπίζουν έως και 2,5% υψηλότερο επιτόκιο σε σχέση με τις μεγαλύτερες.</w:t>
      </w:r>
    </w:p>
    <w:p w14:paraId="44B13DD8" w14:textId="776E27B0" w:rsidR="00A7536F" w:rsidRPr="00DE77D0" w:rsidRDefault="00A7536F" w:rsidP="00A7536F">
      <w:pPr>
        <w:spacing w:after="0" w:line="360" w:lineRule="auto"/>
        <w:jc w:val="both"/>
        <w:rPr>
          <w:rFonts w:ascii="Calibri" w:eastAsia="Times New Roman" w:hAnsi="Calibri" w:cs="Calibri"/>
          <w:bCs/>
          <w:sz w:val="24"/>
          <w:szCs w:val="24"/>
        </w:rPr>
      </w:pPr>
      <w:r w:rsidRPr="00A7536F">
        <w:rPr>
          <w:rFonts w:ascii="Calibri" w:eastAsia="Times New Roman" w:hAnsi="Calibri" w:cs="Times New Roman"/>
          <w:noProof/>
        </w:rPr>
        <w:lastRenderedPageBreak/>
        <w:drawing>
          <wp:inline distT="0" distB="0" distL="0" distR="0" wp14:anchorId="0CE4D613" wp14:editId="1FD71AAF">
            <wp:extent cx="6261100" cy="5246370"/>
            <wp:effectExtent l="0" t="0" r="6350" b="11430"/>
            <wp:docPr id="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69EE1" w14:textId="62558302" w:rsidR="00A7536F" w:rsidRPr="00DE77D0" w:rsidRDefault="007A0614" w:rsidP="00DE77D0">
      <w:pPr>
        <w:spacing w:after="160" w:line="360" w:lineRule="auto"/>
        <w:rPr>
          <w:rFonts w:ascii="Calibri" w:eastAsia="Calibri" w:hAnsi="Calibri" w:cs="Times New Roman"/>
          <w:sz w:val="24"/>
          <w:szCs w:val="24"/>
          <w:lang w:eastAsia="en-US"/>
        </w:rPr>
      </w:pPr>
      <w:r w:rsidRPr="007A0614">
        <w:rPr>
          <w:rFonts w:ascii="Calibri" w:eastAsia="Calibri" w:hAnsi="Calibri" w:cs="Times New Roman"/>
          <w:sz w:val="24"/>
          <w:szCs w:val="24"/>
          <w:lang w:eastAsia="en-US"/>
        </w:rPr>
        <w:t>Τέλος, σ</w:t>
      </w:r>
      <w:r w:rsidR="00A7536F" w:rsidRPr="007A0614">
        <w:rPr>
          <w:rFonts w:ascii="Calibri" w:eastAsia="Calibri" w:hAnsi="Calibri" w:cs="Times New Roman"/>
          <w:sz w:val="24"/>
          <w:szCs w:val="24"/>
          <w:lang w:eastAsia="en-US"/>
        </w:rPr>
        <w:t>ε ότι αφορά τον προγραμματισμό των επενδ</w:t>
      </w:r>
      <w:r w:rsidRPr="007A0614">
        <w:rPr>
          <w:rFonts w:ascii="Calibri" w:eastAsia="Calibri" w:hAnsi="Calibri" w:cs="Times New Roman"/>
          <w:sz w:val="24"/>
          <w:szCs w:val="24"/>
          <w:lang w:eastAsia="en-US"/>
        </w:rPr>
        <w:t>ύσεων, το 17% των επιχειρήσεων δήλωσε</w:t>
      </w:r>
      <w:r w:rsidR="00A7536F" w:rsidRPr="007A0614">
        <w:rPr>
          <w:rFonts w:ascii="Calibri" w:eastAsia="Calibri" w:hAnsi="Calibri" w:cs="Times New Roman"/>
          <w:sz w:val="24"/>
          <w:szCs w:val="24"/>
          <w:lang w:eastAsia="en-US"/>
        </w:rPr>
        <w:t xml:space="preserve"> ότι</w:t>
      </w:r>
      <w:r w:rsidRPr="007A0614">
        <w:rPr>
          <w:rFonts w:ascii="Calibri" w:eastAsia="Calibri" w:hAnsi="Calibri" w:cs="Times New Roman"/>
          <w:sz w:val="24"/>
          <w:szCs w:val="24"/>
          <w:lang w:eastAsia="en-US"/>
        </w:rPr>
        <w:t xml:space="preserve"> το πρώτο εξάμηνο του 2024</w:t>
      </w:r>
      <w:r w:rsidR="00A7536F" w:rsidRPr="007A0614">
        <w:rPr>
          <w:rFonts w:ascii="Calibri" w:eastAsia="Calibri" w:hAnsi="Calibri" w:cs="Times New Roman"/>
          <w:sz w:val="24"/>
          <w:szCs w:val="24"/>
          <w:lang w:eastAsia="en-US"/>
        </w:rPr>
        <w:t xml:space="preserve"> θα πραγματοποιήσει κάποια</w:t>
      </w:r>
      <w:r w:rsidRPr="007A0614">
        <w:rPr>
          <w:rFonts w:ascii="Calibri" w:eastAsia="Calibri" w:hAnsi="Calibri" w:cs="Times New Roman"/>
          <w:sz w:val="24"/>
          <w:szCs w:val="24"/>
          <w:lang w:eastAsia="en-US"/>
        </w:rPr>
        <w:t>ς μορφής</w:t>
      </w:r>
      <w:r w:rsidR="00EE3DCA">
        <w:rPr>
          <w:rFonts w:ascii="Calibri" w:eastAsia="Calibri" w:hAnsi="Calibri" w:cs="Times New Roman"/>
          <w:sz w:val="24"/>
          <w:szCs w:val="24"/>
          <w:lang w:eastAsia="en-US"/>
        </w:rPr>
        <w:t xml:space="preserve"> </w:t>
      </w:r>
      <w:r w:rsidR="00DE77D0">
        <w:rPr>
          <w:rFonts w:ascii="Calibri" w:eastAsia="Calibri" w:hAnsi="Calibri" w:cs="Times New Roman"/>
          <w:sz w:val="24"/>
          <w:szCs w:val="24"/>
          <w:lang w:eastAsia="en-US"/>
        </w:rPr>
        <w:t>επένδυση.</w:t>
      </w:r>
    </w:p>
    <w:p w14:paraId="326D94AA" w14:textId="77777777" w:rsidR="00D60539" w:rsidRPr="0029050F" w:rsidRDefault="0099643D" w:rsidP="00700BFC">
      <w:pPr>
        <w:pStyle w:val="a3"/>
        <w:numPr>
          <w:ilvl w:val="0"/>
          <w:numId w:val="4"/>
        </w:numPr>
        <w:spacing w:after="0" w:line="360" w:lineRule="auto"/>
        <w:jc w:val="both"/>
        <w:rPr>
          <w:b/>
          <w:sz w:val="24"/>
          <w:szCs w:val="24"/>
          <w:u w:val="single"/>
        </w:rPr>
      </w:pPr>
      <w:r w:rsidRPr="0029050F">
        <w:rPr>
          <w:b/>
          <w:sz w:val="24"/>
          <w:szCs w:val="24"/>
          <w:u w:val="single"/>
        </w:rPr>
        <w:t xml:space="preserve">Τιμές </w:t>
      </w:r>
    </w:p>
    <w:p w14:paraId="7268BCA6" w14:textId="2E46E83D" w:rsidR="004605A4" w:rsidRPr="00A01605" w:rsidRDefault="004605A4" w:rsidP="00700BFC">
      <w:pPr>
        <w:spacing w:after="0" w:line="360" w:lineRule="auto"/>
        <w:jc w:val="both"/>
        <w:rPr>
          <w:sz w:val="24"/>
          <w:szCs w:val="24"/>
        </w:rPr>
      </w:pPr>
      <w:r w:rsidRPr="0029050F">
        <w:rPr>
          <w:sz w:val="24"/>
          <w:szCs w:val="24"/>
        </w:rPr>
        <w:t>Μετά το ιστορικό ρεκόρ του 59,2% των επιχειρήσεων που είχ</w:t>
      </w:r>
      <w:r w:rsidR="00617884">
        <w:rPr>
          <w:sz w:val="24"/>
          <w:szCs w:val="24"/>
        </w:rPr>
        <w:t>ε</w:t>
      </w:r>
      <w:r w:rsidRPr="0029050F">
        <w:rPr>
          <w:sz w:val="24"/>
          <w:szCs w:val="24"/>
        </w:rPr>
        <w:t xml:space="preserve"> δηλώσει ότι αύξησ</w:t>
      </w:r>
      <w:r w:rsidR="00617884">
        <w:rPr>
          <w:sz w:val="24"/>
          <w:szCs w:val="24"/>
        </w:rPr>
        <w:t>ε</w:t>
      </w:r>
      <w:r w:rsidRPr="0029050F">
        <w:rPr>
          <w:sz w:val="24"/>
          <w:szCs w:val="24"/>
        </w:rPr>
        <w:t xml:space="preserve"> τις τιμές του το </w:t>
      </w:r>
      <w:r w:rsidR="00FC276F" w:rsidRPr="0029050F">
        <w:rPr>
          <w:sz w:val="24"/>
          <w:szCs w:val="24"/>
        </w:rPr>
        <w:t>πρώτο</w:t>
      </w:r>
      <w:r w:rsidRPr="0029050F">
        <w:rPr>
          <w:sz w:val="24"/>
          <w:szCs w:val="24"/>
        </w:rPr>
        <w:t xml:space="preserve"> εξάμηνο του 2022, </w:t>
      </w:r>
      <w:r w:rsidR="00FC276F" w:rsidRPr="0029050F">
        <w:rPr>
          <w:sz w:val="24"/>
          <w:szCs w:val="24"/>
        </w:rPr>
        <w:t>το ποσοστό των επιχειρήσεων που δήλωσε ότι αύξησε τις τιμές του υποχώρησε το δεύτερο εξάμηνο του 2022 στο</w:t>
      </w:r>
      <w:r w:rsidRPr="0029050F">
        <w:rPr>
          <w:sz w:val="24"/>
          <w:szCs w:val="24"/>
        </w:rPr>
        <w:t xml:space="preserve"> 49,1%</w:t>
      </w:r>
      <w:r w:rsidR="00FC276F" w:rsidRPr="0029050F">
        <w:rPr>
          <w:sz w:val="24"/>
          <w:szCs w:val="24"/>
        </w:rPr>
        <w:t xml:space="preserve"> και περαιτέρω στο 43,3% το</w:t>
      </w:r>
      <w:r w:rsidR="00EE3DCA">
        <w:rPr>
          <w:sz w:val="24"/>
          <w:szCs w:val="24"/>
        </w:rPr>
        <w:t xml:space="preserve"> </w:t>
      </w:r>
      <w:r w:rsidR="00FC276F" w:rsidRPr="0029050F">
        <w:rPr>
          <w:sz w:val="24"/>
          <w:szCs w:val="24"/>
        </w:rPr>
        <w:t>πρώτο εξάμηνο του 2023</w:t>
      </w:r>
      <w:r w:rsidRPr="0029050F">
        <w:rPr>
          <w:sz w:val="24"/>
          <w:szCs w:val="24"/>
        </w:rPr>
        <w:t xml:space="preserve">. </w:t>
      </w:r>
      <w:r w:rsidR="00FA1AAC">
        <w:rPr>
          <w:sz w:val="24"/>
          <w:szCs w:val="24"/>
        </w:rPr>
        <w:t>Το δεύτερο εξάμηνο του 2023 τ</w:t>
      </w:r>
      <w:r w:rsidRPr="0029050F">
        <w:rPr>
          <w:sz w:val="24"/>
          <w:szCs w:val="24"/>
        </w:rPr>
        <w:t xml:space="preserve">ο ποσοστό </w:t>
      </w:r>
      <w:r w:rsidR="00FA1AAC">
        <w:rPr>
          <w:sz w:val="24"/>
          <w:szCs w:val="24"/>
        </w:rPr>
        <w:t>υποχώρησε περαιτέρω</w:t>
      </w:r>
      <w:r w:rsidR="00617884">
        <w:rPr>
          <w:sz w:val="24"/>
          <w:szCs w:val="24"/>
        </w:rPr>
        <w:t>,</w:t>
      </w:r>
      <w:r w:rsidR="00FA1AAC">
        <w:rPr>
          <w:sz w:val="24"/>
          <w:szCs w:val="24"/>
        </w:rPr>
        <w:t xml:space="preserve"> με το 33,2% των επιχειρήσεων να δηλών</w:t>
      </w:r>
      <w:r w:rsidR="00617884">
        <w:rPr>
          <w:sz w:val="24"/>
          <w:szCs w:val="24"/>
        </w:rPr>
        <w:t>ει</w:t>
      </w:r>
      <w:r w:rsidR="00FA1AAC">
        <w:rPr>
          <w:sz w:val="24"/>
          <w:szCs w:val="24"/>
        </w:rPr>
        <w:t xml:space="preserve"> πως αύξησ</w:t>
      </w:r>
      <w:r w:rsidR="00617884">
        <w:rPr>
          <w:sz w:val="24"/>
          <w:szCs w:val="24"/>
        </w:rPr>
        <w:t>ε</w:t>
      </w:r>
      <w:r w:rsidR="00FA1AAC">
        <w:rPr>
          <w:sz w:val="24"/>
          <w:szCs w:val="24"/>
        </w:rPr>
        <w:t xml:space="preserve"> τις τιμές του, έναντι 6,7% που δήλωσε ότι τις μείωσε και 58,6% που τις διατήρησε σταθερές. Το ποσοστό των επιχειρήσεων που αύξησαν τις τιμές τους αν</w:t>
      </w:r>
      <w:r w:rsidRPr="0029050F">
        <w:rPr>
          <w:sz w:val="24"/>
          <w:szCs w:val="24"/>
        </w:rPr>
        <w:t xml:space="preserve"> και είναι μειωμένο</w:t>
      </w:r>
      <w:r w:rsidR="00FA1AAC">
        <w:rPr>
          <w:sz w:val="24"/>
          <w:szCs w:val="24"/>
        </w:rPr>
        <w:t xml:space="preserve"> σε σχέση με τις </w:t>
      </w:r>
      <w:r w:rsidR="00617884">
        <w:rPr>
          <w:sz w:val="24"/>
          <w:szCs w:val="24"/>
        </w:rPr>
        <w:t>τρεις</w:t>
      </w:r>
      <w:r w:rsidR="00FA1AAC">
        <w:rPr>
          <w:sz w:val="24"/>
          <w:szCs w:val="24"/>
        </w:rPr>
        <w:t xml:space="preserve"> προηγούμενες έρευνες παραμένει εξαιρετικά υψηλό</w:t>
      </w:r>
      <w:r w:rsidRPr="0029050F">
        <w:rPr>
          <w:sz w:val="24"/>
          <w:szCs w:val="24"/>
        </w:rPr>
        <w:t>.</w:t>
      </w:r>
      <w:r w:rsidR="0029050F">
        <w:rPr>
          <w:sz w:val="24"/>
          <w:szCs w:val="24"/>
        </w:rPr>
        <w:t xml:space="preserve"> </w:t>
      </w:r>
      <w:r w:rsidR="00E2311E">
        <w:rPr>
          <w:sz w:val="24"/>
          <w:szCs w:val="24"/>
        </w:rPr>
        <w:t>Επιπλέον</w:t>
      </w:r>
      <w:r w:rsidR="00617884">
        <w:rPr>
          <w:sz w:val="24"/>
          <w:szCs w:val="24"/>
        </w:rPr>
        <w:t>,</w:t>
      </w:r>
      <w:r w:rsidR="00E2311E">
        <w:rPr>
          <w:sz w:val="24"/>
          <w:szCs w:val="24"/>
        </w:rPr>
        <w:t xml:space="preserve"> και με βάση τα ευρήματα της έρευνας </w:t>
      </w:r>
      <w:proofErr w:type="spellStart"/>
      <w:r w:rsidR="00E2311E">
        <w:rPr>
          <w:sz w:val="24"/>
          <w:szCs w:val="24"/>
        </w:rPr>
        <w:t>μεσοσταθμικά</w:t>
      </w:r>
      <w:proofErr w:type="spellEnd"/>
      <w:r w:rsidR="00902B23">
        <w:rPr>
          <w:sz w:val="24"/>
          <w:szCs w:val="24"/>
        </w:rPr>
        <w:t>,</w:t>
      </w:r>
      <w:r w:rsidR="00E2311E">
        <w:rPr>
          <w:sz w:val="24"/>
          <w:szCs w:val="24"/>
        </w:rPr>
        <w:t xml:space="preserve"> το δεύτερο εξάμηνο του 2023 οι μικρές και πολύ μικρές επιχειρήσεις αύξησαν τις τιμές τους κατά 3,9%.</w:t>
      </w:r>
    </w:p>
    <w:p w14:paraId="46FE1B34" w14:textId="1F666043" w:rsidR="004605A4" w:rsidRPr="006043B9" w:rsidRDefault="00E2311E" w:rsidP="00700BFC">
      <w:pPr>
        <w:spacing w:after="0" w:line="360" w:lineRule="auto"/>
        <w:jc w:val="both"/>
        <w:rPr>
          <w:sz w:val="24"/>
          <w:szCs w:val="24"/>
          <w:highlight w:val="yellow"/>
        </w:rPr>
      </w:pPr>
      <w:r>
        <w:rPr>
          <w:noProof/>
        </w:rPr>
        <w:lastRenderedPageBreak/>
        <w:drawing>
          <wp:inline distT="0" distB="0" distL="0" distR="0" wp14:anchorId="3587AB61" wp14:editId="27499E69">
            <wp:extent cx="6504167" cy="3021496"/>
            <wp:effectExtent l="0" t="0" r="11430" b="26670"/>
            <wp:docPr id="7" name="Γράφημα 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217BB2" w14:textId="053C7629" w:rsidR="004605A4" w:rsidRPr="00A01605" w:rsidRDefault="004605A4" w:rsidP="00A01605">
      <w:pPr>
        <w:spacing w:line="360" w:lineRule="auto"/>
        <w:jc w:val="both"/>
        <w:rPr>
          <w:sz w:val="24"/>
          <w:szCs w:val="24"/>
        </w:rPr>
      </w:pPr>
      <w:r w:rsidRPr="00A01605">
        <w:rPr>
          <w:sz w:val="24"/>
          <w:szCs w:val="24"/>
        </w:rPr>
        <w:t xml:space="preserve">Σε κλαδικό επίπεδο είχαμε σαφώς μικρότερα ποσοστά επιχειρήσεων που αύξησαν τις τιμές τους στους </w:t>
      </w:r>
      <w:r w:rsidR="0062713A" w:rsidRPr="00A01605">
        <w:rPr>
          <w:sz w:val="24"/>
          <w:szCs w:val="24"/>
        </w:rPr>
        <w:t>τομείς</w:t>
      </w:r>
      <w:r w:rsidRPr="00A01605">
        <w:rPr>
          <w:sz w:val="24"/>
          <w:szCs w:val="24"/>
        </w:rPr>
        <w:t xml:space="preserve"> των υπηρεσιών (</w:t>
      </w:r>
      <w:r w:rsidR="00E2311E">
        <w:rPr>
          <w:sz w:val="24"/>
          <w:szCs w:val="24"/>
        </w:rPr>
        <w:t>26,4</w:t>
      </w:r>
      <w:r w:rsidRPr="00A01605">
        <w:rPr>
          <w:sz w:val="24"/>
          <w:szCs w:val="24"/>
        </w:rPr>
        <w:t xml:space="preserve">%) </w:t>
      </w:r>
      <w:r w:rsidR="0062713A" w:rsidRPr="00A01605">
        <w:rPr>
          <w:sz w:val="24"/>
          <w:szCs w:val="24"/>
        </w:rPr>
        <w:t>και της μεταποίησης (</w:t>
      </w:r>
      <w:r w:rsidR="00E2311E">
        <w:rPr>
          <w:sz w:val="24"/>
          <w:szCs w:val="24"/>
        </w:rPr>
        <w:t>32,4</w:t>
      </w:r>
      <w:r w:rsidR="0062713A" w:rsidRPr="00A01605">
        <w:rPr>
          <w:sz w:val="24"/>
          <w:szCs w:val="24"/>
        </w:rPr>
        <w:t>%)</w:t>
      </w:r>
      <w:r w:rsidR="00902B23">
        <w:rPr>
          <w:sz w:val="24"/>
          <w:szCs w:val="24"/>
        </w:rPr>
        <w:t>,</w:t>
      </w:r>
      <w:r w:rsidR="0062713A" w:rsidRPr="00A01605">
        <w:rPr>
          <w:sz w:val="24"/>
          <w:szCs w:val="24"/>
        </w:rPr>
        <w:t xml:space="preserve"> </w:t>
      </w:r>
      <w:r w:rsidRPr="00A01605">
        <w:rPr>
          <w:sz w:val="24"/>
          <w:szCs w:val="24"/>
        </w:rPr>
        <w:t xml:space="preserve">σε σχέση με τις </w:t>
      </w:r>
      <w:r w:rsidR="0062713A" w:rsidRPr="00A01605">
        <w:rPr>
          <w:sz w:val="24"/>
          <w:szCs w:val="24"/>
        </w:rPr>
        <w:t>εμπορικές επιχειρήσεις</w:t>
      </w:r>
      <w:r w:rsidR="00EE3DCA">
        <w:rPr>
          <w:sz w:val="24"/>
          <w:szCs w:val="24"/>
        </w:rPr>
        <w:t xml:space="preserve"> </w:t>
      </w:r>
      <w:r w:rsidRPr="00A01605">
        <w:rPr>
          <w:sz w:val="24"/>
          <w:szCs w:val="24"/>
        </w:rPr>
        <w:t>(</w:t>
      </w:r>
      <w:r w:rsidR="00E2311E">
        <w:rPr>
          <w:sz w:val="24"/>
          <w:szCs w:val="24"/>
        </w:rPr>
        <w:t>40,7</w:t>
      </w:r>
      <w:r w:rsidRPr="00A01605">
        <w:rPr>
          <w:sz w:val="24"/>
          <w:szCs w:val="24"/>
        </w:rPr>
        <w:t xml:space="preserve">%). </w:t>
      </w:r>
    </w:p>
    <w:p w14:paraId="0C50FA76" w14:textId="5592F560" w:rsidR="004605A4" w:rsidRPr="00DE77D0" w:rsidRDefault="00E2311E" w:rsidP="00700BFC">
      <w:pPr>
        <w:spacing w:after="0" w:line="360" w:lineRule="auto"/>
        <w:jc w:val="both"/>
        <w:rPr>
          <w:sz w:val="24"/>
          <w:szCs w:val="24"/>
        </w:rPr>
      </w:pPr>
      <w:r>
        <w:rPr>
          <w:sz w:val="24"/>
          <w:szCs w:val="24"/>
        </w:rPr>
        <w:t>Τέλος, α</w:t>
      </w:r>
      <w:r w:rsidR="004605A4" w:rsidRPr="00A01605">
        <w:rPr>
          <w:sz w:val="24"/>
          <w:szCs w:val="24"/>
        </w:rPr>
        <w:t xml:space="preserve">ν και με χαμηλότερο ρυθμό, το πληθωριστικό κύμα φαίνεται πως θα συνεχιστεί και το </w:t>
      </w:r>
      <w:r>
        <w:rPr>
          <w:sz w:val="24"/>
          <w:szCs w:val="24"/>
        </w:rPr>
        <w:t>πρώτο εξάμηνο του 2024</w:t>
      </w:r>
      <w:r w:rsidR="0062713A" w:rsidRPr="00A01605">
        <w:rPr>
          <w:sz w:val="24"/>
          <w:szCs w:val="24"/>
        </w:rPr>
        <w:t xml:space="preserve">, καθώς το </w:t>
      </w:r>
      <w:r>
        <w:rPr>
          <w:sz w:val="24"/>
          <w:szCs w:val="24"/>
        </w:rPr>
        <w:t>24,7</w:t>
      </w:r>
      <w:r w:rsidR="0062713A" w:rsidRPr="00A01605">
        <w:rPr>
          <w:sz w:val="24"/>
          <w:szCs w:val="24"/>
        </w:rPr>
        <w:t>% των επιχειρήσεων δήλωσε ότι σκοπεύει να αυξήσει</w:t>
      </w:r>
      <w:r w:rsidR="004605A4" w:rsidRPr="00A01605">
        <w:rPr>
          <w:sz w:val="24"/>
          <w:szCs w:val="24"/>
        </w:rPr>
        <w:t xml:space="preserve"> τις τιμές του</w:t>
      </w:r>
      <w:r w:rsidR="00902B23">
        <w:rPr>
          <w:sz w:val="24"/>
          <w:szCs w:val="24"/>
        </w:rPr>
        <w:t>,</w:t>
      </w:r>
      <w:r w:rsidR="004605A4" w:rsidRPr="00A01605">
        <w:rPr>
          <w:sz w:val="24"/>
          <w:szCs w:val="24"/>
        </w:rPr>
        <w:t xml:space="preserve"> </w:t>
      </w:r>
      <w:r>
        <w:rPr>
          <w:sz w:val="24"/>
          <w:szCs w:val="24"/>
        </w:rPr>
        <w:t>έναντι μόλις 3</w:t>
      </w:r>
      <w:r w:rsidR="004605A4" w:rsidRPr="00A01605">
        <w:rPr>
          <w:sz w:val="24"/>
          <w:szCs w:val="24"/>
        </w:rPr>
        <w:t xml:space="preserve">% </w:t>
      </w:r>
      <w:r w:rsidR="0062713A" w:rsidRPr="00A01605">
        <w:rPr>
          <w:sz w:val="24"/>
          <w:szCs w:val="24"/>
        </w:rPr>
        <w:t>που δήλωσε ότι θα τις μει</w:t>
      </w:r>
      <w:r w:rsidR="00207662" w:rsidRPr="00A01605">
        <w:rPr>
          <w:sz w:val="24"/>
          <w:szCs w:val="24"/>
        </w:rPr>
        <w:t>ώσει</w:t>
      </w:r>
      <w:r w:rsidR="004605A4" w:rsidRPr="00A01605">
        <w:rPr>
          <w:sz w:val="24"/>
          <w:szCs w:val="24"/>
        </w:rPr>
        <w:t xml:space="preserve">. </w:t>
      </w:r>
      <w:r w:rsidR="002C362D">
        <w:rPr>
          <w:sz w:val="24"/>
          <w:szCs w:val="24"/>
        </w:rPr>
        <w:t>Από τα επιμέρους στοιχεία</w:t>
      </w:r>
      <w:r w:rsidR="00902B23">
        <w:rPr>
          <w:sz w:val="24"/>
          <w:szCs w:val="24"/>
        </w:rPr>
        <w:t>,</w:t>
      </w:r>
      <w:r w:rsidR="002C362D">
        <w:rPr>
          <w:sz w:val="24"/>
          <w:szCs w:val="24"/>
        </w:rPr>
        <w:t xml:space="preserve"> σ</w:t>
      </w:r>
      <w:r w:rsidR="002C362D" w:rsidRPr="002C362D">
        <w:rPr>
          <w:sz w:val="24"/>
          <w:szCs w:val="24"/>
        </w:rPr>
        <w:t xml:space="preserve">χεδόν </w:t>
      </w:r>
      <w:r w:rsidR="002C362D">
        <w:rPr>
          <w:sz w:val="24"/>
          <w:szCs w:val="24"/>
        </w:rPr>
        <w:t>1</w:t>
      </w:r>
      <w:r w:rsidR="002C362D" w:rsidRPr="002C362D">
        <w:rPr>
          <w:sz w:val="24"/>
          <w:szCs w:val="24"/>
        </w:rPr>
        <w:t xml:space="preserve"> στις </w:t>
      </w:r>
      <w:r w:rsidR="002C362D">
        <w:rPr>
          <w:sz w:val="24"/>
          <w:szCs w:val="24"/>
        </w:rPr>
        <w:t>3 (30,8%) εμπορικές</w:t>
      </w:r>
      <w:r w:rsidR="002C362D" w:rsidRPr="002C362D">
        <w:rPr>
          <w:sz w:val="24"/>
          <w:szCs w:val="24"/>
        </w:rPr>
        <w:t xml:space="preserve"> επιχειρήσεις </w:t>
      </w:r>
      <w:r w:rsidR="002C362D">
        <w:rPr>
          <w:sz w:val="24"/>
          <w:szCs w:val="24"/>
        </w:rPr>
        <w:t>εκτιμ</w:t>
      </w:r>
      <w:r w:rsidR="00902B23">
        <w:rPr>
          <w:sz w:val="24"/>
          <w:szCs w:val="24"/>
        </w:rPr>
        <w:t>ά</w:t>
      </w:r>
      <w:r w:rsidR="002C362D">
        <w:rPr>
          <w:sz w:val="24"/>
          <w:szCs w:val="24"/>
        </w:rPr>
        <w:t xml:space="preserve"> ότι θα αυξήσ</w:t>
      </w:r>
      <w:r w:rsidR="00902B23">
        <w:rPr>
          <w:sz w:val="24"/>
          <w:szCs w:val="24"/>
        </w:rPr>
        <w:t>ει</w:t>
      </w:r>
      <w:r w:rsidR="002C362D" w:rsidRPr="002C362D">
        <w:rPr>
          <w:sz w:val="24"/>
          <w:szCs w:val="24"/>
        </w:rPr>
        <w:t xml:space="preserve"> </w:t>
      </w:r>
      <w:r w:rsidR="002C362D">
        <w:rPr>
          <w:sz w:val="24"/>
          <w:szCs w:val="24"/>
        </w:rPr>
        <w:t>τις τιμές τ</w:t>
      </w:r>
      <w:r w:rsidR="00902B23">
        <w:rPr>
          <w:sz w:val="24"/>
          <w:szCs w:val="24"/>
        </w:rPr>
        <w:t>η</w:t>
      </w:r>
      <w:r w:rsidR="002C362D">
        <w:rPr>
          <w:sz w:val="24"/>
          <w:szCs w:val="24"/>
        </w:rPr>
        <w:t>ς</w:t>
      </w:r>
      <w:r w:rsidR="002C362D" w:rsidRPr="002C362D">
        <w:rPr>
          <w:sz w:val="24"/>
          <w:szCs w:val="24"/>
        </w:rPr>
        <w:t xml:space="preserve">, </w:t>
      </w:r>
      <w:r w:rsidR="002C362D">
        <w:rPr>
          <w:sz w:val="24"/>
          <w:szCs w:val="24"/>
        </w:rPr>
        <w:t xml:space="preserve">και </w:t>
      </w:r>
      <w:r w:rsidR="00902B23">
        <w:rPr>
          <w:sz w:val="24"/>
          <w:szCs w:val="24"/>
        </w:rPr>
        <w:t xml:space="preserve">το ίδιο εκτίμα </w:t>
      </w:r>
      <w:r w:rsidR="002C362D">
        <w:rPr>
          <w:sz w:val="24"/>
          <w:szCs w:val="24"/>
        </w:rPr>
        <w:t xml:space="preserve">περίπου 1 στις 5 στους τομείς της μεταποίησης (20,5%) και των υπηρεσιών (21,3%). </w:t>
      </w:r>
    </w:p>
    <w:p w14:paraId="6B9E842C" w14:textId="77777777" w:rsidR="002C362D" w:rsidRPr="006043B9" w:rsidRDefault="002C362D" w:rsidP="00700BFC">
      <w:pPr>
        <w:spacing w:after="0" w:line="360" w:lineRule="auto"/>
        <w:jc w:val="both"/>
        <w:rPr>
          <w:sz w:val="24"/>
          <w:szCs w:val="24"/>
          <w:highlight w:val="yellow"/>
        </w:rPr>
      </w:pPr>
    </w:p>
    <w:p w14:paraId="4E37FDFA" w14:textId="3061EAF3" w:rsidR="00F438CB" w:rsidRPr="006666AA" w:rsidRDefault="00B21D26" w:rsidP="00700BFC">
      <w:pPr>
        <w:pStyle w:val="a3"/>
        <w:numPr>
          <w:ilvl w:val="0"/>
          <w:numId w:val="4"/>
        </w:numPr>
        <w:spacing w:after="0" w:line="360" w:lineRule="auto"/>
        <w:jc w:val="both"/>
        <w:rPr>
          <w:b/>
          <w:sz w:val="24"/>
          <w:szCs w:val="24"/>
          <w:u w:val="single"/>
        </w:rPr>
      </w:pPr>
      <w:r w:rsidRPr="006666AA">
        <w:rPr>
          <w:b/>
          <w:sz w:val="24"/>
          <w:szCs w:val="24"/>
          <w:u w:val="single"/>
        </w:rPr>
        <w:t>Επιπτώσεις ανατιμήσεων</w:t>
      </w:r>
      <w:r w:rsidR="002C362D">
        <w:rPr>
          <w:b/>
          <w:sz w:val="24"/>
          <w:szCs w:val="24"/>
          <w:u w:val="single"/>
        </w:rPr>
        <w:t xml:space="preserve"> – αύξηση λειτουργικού κόστους </w:t>
      </w:r>
    </w:p>
    <w:p w14:paraId="55173144" w14:textId="2D61B3C4" w:rsidR="00754D44" w:rsidRDefault="00811443" w:rsidP="00700BFC">
      <w:pPr>
        <w:spacing w:after="0" w:line="360" w:lineRule="auto"/>
        <w:jc w:val="both"/>
        <w:rPr>
          <w:sz w:val="24"/>
          <w:szCs w:val="24"/>
        </w:rPr>
      </w:pPr>
      <w:r w:rsidRPr="006666AA">
        <w:rPr>
          <w:sz w:val="24"/>
          <w:szCs w:val="24"/>
        </w:rPr>
        <w:t>Οι</w:t>
      </w:r>
      <w:r w:rsidR="00754D44" w:rsidRPr="006666AA">
        <w:rPr>
          <w:sz w:val="24"/>
          <w:szCs w:val="24"/>
        </w:rPr>
        <w:t xml:space="preserve"> αρνητικές επιπτώσεις των ανατιμήσεων</w:t>
      </w:r>
      <w:r w:rsidRPr="006666AA">
        <w:rPr>
          <w:sz w:val="24"/>
          <w:szCs w:val="24"/>
        </w:rPr>
        <w:t xml:space="preserve"> </w:t>
      </w:r>
      <w:r w:rsidR="002928CC">
        <w:rPr>
          <w:sz w:val="24"/>
          <w:szCs w:val="24"/>
        </w:rPr>
        <w:t>σ</w:t>
      </w:r>
      <w:r w:rsidR="0018451F">
        <w:rPr>
          <w:sz w:val="24"/>
          <w:szCs w:val="24"/>
        </w:rPr>
        <w:t xml:space="preserve">το λειτουργικό κόστος των επιχειρήσεων είναι εμφανείς από το ποσοστό των επιχειρήσεων που </w:t>
      </w:r>
      <w:r w:rsidR="002928CC">
        <w:rPr>
          <w:sz w:val="24"/>
          <w:szCs w:val="24"/>
        </w:rPr>
        <w:t>ανέφερε</w:t>
      </w:r>
      <w:r w:rsidR="0018451F">
        <w:rPr>
          <w:sz w:val="24"/>
          <w:szCs w:val="24"/>
        </w:rPr>
        <w:t xml:space="preserve"> εάν αυτό έχει αυξηθεί τα τελευταία 2 χρόνια, δηλαδή από την εκδήλωση της ενεργειακής κρίσης</w:t>
      </w:r>
      <w:r w:rsidRPr="006666AA">
        <w:rPr>
          <w:sz w:val="24"/>
          <w:szCs w:val="24"/>
        </w:rPr>
        <w:t xml:space="preserve">. </w:t>
      </w:r>
      <w:r w:rsidR="0018451F">
        <w:rPr>
          <w:sz w:val="24"/>
          <w:szCs w:val="24"/>
        </w:rPr>
        <w:t>Συγκεκριμένα</w:t>
      </w:r>
      <w:r w:rsidR="002928CC">
        <w:rPr>
          <w:sz w:val="24"/>
          <w:szCs w:val="24"/>
        </w:rPr>
        <w:t>,</w:t>
      </w:r>
      <w:r w:rsidR="0018451F">
        <w:rPr>
          <w:sz w:val="24"/>
          <w:szCs w:val="24"/>
        </w:rPr>
        <w:t xml:space="preserve"> σχεδόν 9 στις 10 επιχειρήσεις δήλωσαν ότι το κόστος λειτουργίας τους αυξήθηκε. </w:t>
      </w:r>
      <w:proofErr w:type="spellStart"/>
      <w:r w:rsidR="0018451F">
        <w:rPr>
          <w:sz w:val="24"/>
          <w:szCs w:val="24"/>
        </w:rPr>
        <w:t>Μεσοσταθμικά</w:t>
      </w:r>
      <w:proofErr w:type="spellEnd"/>
      <w:r w:rsidR="0018451F">
        <w:rPr>
          <w:sz w:val="24"/>
          <w:szCs w:val="24"/>
        </w:rPr>
        <w:t>, για αυτές τις επιχειρήσεις το κόστος λειτουργίας αυξήθηκε κατά</w:t>
      </w:r>
      <w:r w:rsidR="00D76309">
        <w:rPr>
          <w:sz w:val="24"/>
          <w:szCs w:val="24"/>
        </w:rPr>
        <w:t xml:space="preserve"> 35%. Τομεακά, το λειτουργικό κόστος των εμπορικών επιχειρήσεων αυξήθηκε </w:t>
      </w:r>
      <w:proofErr w:type="spellStart"/>
      <w:r w:rsidR="00D76309">
        <w:rPr>
          <w:sz w:val="24"/>
          <w:szCs w:val="24"/>
        </w:rPr>
        <w:t>μεσοσταθμικά</w:t>
      </w:r>
      <w:proofErr w:type="spellEnd"/>
      <w:r w:rsidR="00D76309">
        <w:rPr>
          <w:sz w:val="24"/>
          <w:szCs w:val="24"/>
        </w:rPr>
        <w:t xml:space="preserve"> κατά 34,6%, στη μεταποίηση κατά 39,2% και στις υπηρεσίες κατά 33,1%.</w:t>
      </w:r>
    </w:p>
    <w:p w14:paraId="4EAE3DF1" w14:textId="0A0CB9B9" w:rsidR="00D76309" w:rsidRPr="00D76309" w:rsidRDefault="00D76309" w:rsidP="00700BFC">
      <w:pPr>
        <w:spacing w:after="0" w:line="360" w:lineRule="auto"/>
        <w:jc w:val="both"/>
        <w:rPr>
          <w:sz w:val="24"/>
          <w:szCs w:val="24"/>
        </w:rPr>
      </w:pPr>
      <w:r>
        <w:rPr>
          <w:sz w:val="24"/>
          <w:szCs w:val="24"/>
        </w:rPr>
        <w:t xml:space="preserve">Τέλος, στις επιχειρήσεις εστίασης το λειτουργικό κόστος αυξήθηκε </w:t>
      </w:r>
      <w:proofErr w:type="spellStart"/>
      <w:r>
        <w:rPr>
          <w:sz w:val="24"/>
          <w:szCs w:val="24"/>
        </w:rPr>
        <w:t>μεσοσταθμικά</w:t>
      </w:r>
      <w:proofErr w:type="spellEnd"/>
      <w:r>
        <w:rPr>
          <w:sz w:val="24"/>
          <w:szCs w:val="24"/>
        </w:rPr>
        <w:t xml:space="preserve"> κατά 46%.</w:t>
      </w:r>
    </w:p>
    <w:p w14:paraId="7512E975" w14:textId="37A3C615" w:rsidR="0018451F" w:rsidRDefault="0018451F" w:rsidP="00700BFC">
      <w:pPr>
        <w:spacing w:after="0" w:line="360" w:lineRule="auto"/>
        <w:jc w:val="both"/>
        <w:rPr>
          <w:rFonts w:ascii="Calibri" w:hAnsi="Calibri" w:cs="Calibri"/>
          <w:sz w:val="24"/>
          <w:szCs w:val="24"/>
        </w:rPr>
      </w:pPr>
      <w:r>
        <w:rPr>
          <w:noProof/>
        </w:rPr>
        <w:lastRenderedPageBreak/>
        <w:drawing>
          <wp:inline distT="0" distB="0" distL="0" distR="0" wp14:anchorId="2C413F14" wp14:editId="67405574">
            <wp:extent cx="6528021" cy="3848431"/>
            <wp:effectExtent l="0" t="0" r="25400" b="19050"/>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49D470" w14:textId="77777777" w:rsidR="00A01605" w:rsidRPr="006043B9" w:rsidRDefault="00A01605" w:rsidP="00700BFC">
      <w:pPr>
        <w:spacing w:after="0" w:line="360" w:lineRule="auto"/>
        <w:jc w:val="both"/>
        <w:rPr>
          <w:b/>
          <w:sz w:val="24"/>
          <w:szCs w:val="24"/>
          <w:highlight w:val="yellow"/>
          <w:u w:val="single"/>
        </w:rPr>
      </w:pPr>
    </w:p>
    <w:p w14:paraId="52BE8C32" w14:textId="77777777" w:rsidR="00CC423E" w:rsidRPr="00646CC1" w:rsidRDefault="00CC423E" w:rsidP="00700BFC">
      <w:pPr>
        <w:numPr>
          <w:ilvl w:val="0"/>
          <w:numId w:val="5"/>
        </w:numPr>
        <w:spacing w:after="0" w:line="360" w:lineRule="auto"/>
        <w:contextualSpacing/>
        <w:jc w:val="both"/>
        <w:rPr>
          <w:rFonts w:cstheme="minorHAnsi"/>
          <w:u w:val="single"/>
        </w:rPr>
      </w:pPr>
      <w:r w:rsidRPr="00646CC1">
        <w:rPr>
          <w:rFonts w:eastAsia="Times New Roman" w:cstheme="minorHAnsi"/>
          <w:b/>
          <w:color w:val="222222"/>
          <w:sz w:val="24"/>
          <w:szCs w:val="24"/>
          <w:u w:val="single"/>
        </w:rPr>
        <w:t xml:space="preserve">Υποχρεώσεις - οφειλές </w:t>
      </w:r>
    </w:p>
    <w:p w14:paraId="7315398C" w14:textId="0D21CC6E" w:rsidR="00CC423E" w:rsidRPr="00F622BE" w:rsidRDefault="00BE0A57" w:rsidP="00700BFC">
      <w:pPr>
        <w:spacing w:after="0" w:line="360" w:lineRule="auto"/>
        <w:jc w:val="both"/>
        <w:rPr>
          <w:rFonts w:eastAsia="Times New Roman" w:cstheme="minorHAnsi"/>
          <w:sz w:val="24"/>
          <w:szCs w:val="24"/>
        </w:rPr>
      </w:pPr>
      <w:r>
        <w:rPr>
          <w:rFonts w:eastAsia="Times New Roman" w:cstheme="minorHAnsi"/>
          <w:sz w:val="24"/>
          <w:szCs w:val="24"/>
        </w:rPr>
        <w:t>Σχετικά σταθερή παραμένει η κατάσταση αναφορικά με τα ποσοστά των μικρών και πολύ μικρών επιχειρήσεων με</w:t>
      </w:r>
      <w:r w:rsidR="002C362D">
        <w:rPr>
          <w:rFonts w:eastAsia="Times New Roman" w:cstheme="minorHAnsi"/>
          <w:sz w:val="24"/>
          <w:szCs w:val="24"/>
        </w:rPr>
        <w:t xml:space="preserve"> </w:t>
      </w:r>
      <w:r>
        <w:rPr>
          <w:rFonts w:eastAsia="Times New Roman" w:cstheme="minorHAnsi"/>
          <w:sz w:val="24"/>
          <w:szCs w:val="24"/>
        </w:rPr>
        <w:t>καθυστερημένες υποχρεώσεις</w:t>
      </w:r>
      <w:r w:rsidR="00CC423E" w:rsidRPr="00F622BE">
        <w:rPr>
          <w:rFonts w:eastAsia="Times New Roman" w:cstheme="minorHAnsi"/>
          <w:sz w:val="24"/>
          <w:szCs w:val="24"/>
        </w:rPr>
        <w:t>.</w:t>
      </w:r>
      <w:r w:rsidR="00EE3DCA">
        <w:rPr>
          <w:rFonts w:eastAsia="Times New Roman" w:cstheme="minorHAnsi"/>
          <w:sz w:val="24"/>
          <w:szCs w:val="24"/>
        </w:rPr>
        <w:t xml:space="preserve"> </w:t>
      </w:r>
      <w:r w:rsidR="00A1521F">
        <w:rPr>
          <w:rFonts w:eastAsia="Times New Roman" w:cstheme="minorHAnsi"/>
          <w:sz w:val="24"/>
          <w:szCs w:val="24"/>
        </w:rPr>
        <w:t>Αυτό σε γενικές γραμμές προκύπτει</w:t>
      </w:r>
      <w:r w:rsidR="002766C3">
        <w:rPr>
          <w:rFonts w:eastAsia="Times New Roman" w:cstheme="minorHAnsi"/>
          <w:sz w:val="24"/>
          <w:szCs w:val="24"/>
        </w:rPr>
        <w:t xml:space="preserve"> </w:t>
      </w:r>
      <w:r w:rsidR="00A1521F">
        <w:rPr>
          <w:rFonts w:eastAsia="Times New Roman" w:cstheme="minorHAnsi"/>
          <w:sz w:val="24"/>
          <w:szCs w:val="24"/>
        </w:rPr>
        <w:t>και από την τελευταία</w:t>
      </w:r>
      <w:r w:rsidR="002766C3">
        <w:rPr>
          <w:rFonts w:eastAsia="Times New Roman" w:cstheme="minorHAnsi"/>
          <w:sz w:val="24"/>
          <w:szCs w:val="24"/>
        </w:rPr>
        <w:t xml:space="preserve"> </w:t>
      </w:r>
      <w:r w:rsidR="00A1521F">
        <w:rPr>
          <w:rFonts w:eastAsia="Times New Roman" w:cstheme="minorHAnsi"/>
          <w:sz w:val="24"/>
          <w:szCs w:val="24"/>
        </w:rPr>
        <w:t>έκθεση του Γραφείου Π</w:t>
      </w:r>
      <w:r w:rsidR="002766C3">
        <w:rPr>
          <w:rFonts w:eastAsia="Times New Roman" w:cstheme="minorHAnsi"/>
          <w:sz w:val="24"/>
          <w:szCs w:val="24"/>
        </w:rPr>
        <w:t xml:space="preserve">ροϋπολογισμού του Κράτους στην Βουλή </w:t>
      </w:r>
      <w:r w:rsidRPr="00BE0A57">
        <w:rPr>
          <w:rFonts w:eastAsia="Times New Roman" w:cstheme="minorHAnsi"/>
          <w:sz w:val="24"/>
          <w:szCs w:val="24"/>
        </w:rPr>
        <w:t>(τρίτο τρίμηνο 2023), όπου οι οφειλέτες</w:t>
      </w:r>
      <w:r w:rsidR="001F00CB">
        <w:rPr>
          <w:rFonts w:eastAsia="Times New Roman" w:cstheme="minorHAnsi"/>
          <w:sz w:val="24"/>
          <w:szCs w:val="24"/>
        </w:rPr>
        <w:t>/</w:t>
      </w:r>
      <w:proofErr w:type="spellStart"/>
      <w:r w:rsidR="001F00CB">
        <w:rPr>
          <w:rFonts w:eastAsia="Times New Roman" w:cstheme="minorHAnsi"/>
          <w:sz w:val="24"/>
          <w:szCs w:val="24"/>
        </w:rPr>
        <w:t>ριες</w:t>
      </w:r>
      <w:proofErr w:type="spellEnd"/>
      <w:r w:rsidRPr="00BE0A57">
        <w:rPr>
          <w:rFonts w:eastAsia="Times New Roman" w:cstheme="minorHAnsi"/>
          <w:sz w:val="24"/>
          <w:szCs w:val="24"/>
        </w:rPr>
        <w:t>, στο τέλος Οκτωβρίου του 2023 μειώθηκαν κατά 163.111 πρόσωπα (φυσικά και νομικά) σε σχέση με την αντίστοιχη περίοδο του 2022</w:t>
      </w:r>
      <w:r w:rsidR="00D3438B">
        <w:rPr>
          <w:rFonts w:eastAsia="Times New Roman" w:cstheme="minorHAnsi"/>
          <w:sz w:val="24"/>
          <w:szCs w:val="24"/>
        </w:rPr>
        <w:t>,</w:t>
      </w:r>
      <w:r w:rsidRPr="00BE0A57">
        <w:rPr>
          <w:rFonts w:eastAsia="Times New Roman" w:cstheme="minorHAnsi"/>
          <w:sz w:val="24"/>
          <w:szCs w:val="24"/>
        </w:rPr>
        <w:t xml:space="preserve"> με αποτέλεσμα</w:t>
      </w:r>
      <w:r w:rsidR="001F00CB">
        <w:rPr>
          <w:rFonts w:eastAsia="Times New Roman" w:cstheme="minorHAnsi"/>
          <w:sz w:val="24"/>
          <w:szCs w:val="24"/>
        </w:rPr>
        <w:t xml:space="preserve"> ο αριθμός τους</w:t>
      </w:r>
      <w:r w:rsidRPr="00BE0A57">
        <w:rPr>
          <w:rFonts w:eastAsia="Times New Roman" w:cstheme="minorHAnsi"/>
          <w:sz w:val="24"/>
          <w:szCs w:val="24"/>
        </w:rPr>
        <w:t xml:space="preserve"> να διαμορφώνεται </w:t>
      </w:r>
      <w:r w:rsidR="001F00CB">
        <w:rPr>
          <w:rFonts w:eastAsia="Times New Roman" w:cstheme="minorHAnsi"/>
          <w:sz w:val="24"/>
          <w:szCs w:val="24"/>
        </w:rPr>
        <w:t>στους/</w:t>
      </w:r>
      <w:proofErr w:type="spellStart"/>
      <w:r w:rsidR="001F00CB">
        <w:rPr>
          <w:rFonts w:eastAsia="Times New Roman" w:cstheme="minorHAnsi"/>
          <w:sz w:val="24"/>
          <w:szCs w:val="24"/>
        </w:rPr>
        <w:t>ις</w:t>
      </w:r>
      <w:proofErr w:type="spellEnd"/>
      <w:r w:rsidRPr="00BE0A57">
        <w:rPr>
          <w:rFonts w:eastAsia="Times New Roman" w:cstheme="minorHAnsi"/>
          <w:sz w:val="24"/>
          <w:szCs w:val="24"/>
        </w:rPr>
        <w:t xml:space="preserve"> 4.013.138 οφειλέτες</w:t>
      </w:r>
      <w:r w:rsidR="001F00CB">
        <w:rPr>
          <w:rFonts w:eastAsia="Times New Roman" w:cstheme="minorHAnsi"/>
          <w:sz w:val="24"/>
          <w:szCs w:val="24"/>
        </w:rPr>
        <w:t>/</w:t>
      </w:r>
      <w:proofErr w:type="spellStart"/>
      <w:r w:rsidR="001F00CB">
        <w:rPr>
          <w:rFonts w:eastAsia="Times New Roman" w:cstheme="minorHAnsi"/>
          <w:sz w:val="24"/>
          <w:szCs w:val="24"/>
        </w:rPr>
        <w:t>ριες</w:t>
      </w:r>
      <w:proofErr w:type="spellEnd"/>
      <w:r w:rsidRPr="00BE0A57">
        <w:rPr>
          <w:rFonts w:eastAsia="Times New Roman" w:cstheme="minorHAnsi"/>
          <w:sz w:val="24"/>
          <w:szCs w:val="24"/>
        </w:rPr>
        <w:t xml:space="preserve">. Η εν λόγω μείωση προέρχεται από τις χαμηλότερες κατηγορίες οφειλής και συγκεκριμένα από τις οφειλές από 50 μέχρι 10.000 </w:t>
      </w:r>
      <w:r w:rsidR="001F00CB">
        <w:rPr>
          <w:rFonts w:eastAsia="Times New Roman" w:cstheme="minorHAnsi"/>
          <w:sz w:val="24"/>
          <w:szCs w:val="24"/>
        </w:rPr>
        <w:t>€</w:t>
      </w:r>
      <w:r w:rsidRPr="00BE0A57">
        <w:rPr>
          <w:rFonts w:eastAsia="Times New Roman" w:cstheme="minorHAnsi"/>
          <w:sz w:val="24"/>
          <w:szCs w:val="24"/>
        </w:rPr>
        <w:t>, με τον αριθμό τους να μειώνεται συνολικά κατά 186.826 πρόσωπα. Αντιθέτως, στις υπόλοιπες κατηγορίες οφειλής παρατηρείται αύξηση του αριθμού των οφειλετών</w:t>
      </w:r>
      <w:r w:rsidR="001F00CB">
        <w:rPr>
          <w:rFonts w:eastAsia="Times New Roman" w:cstheme="minorHAnsi"/>
          <w:sz w:val="24"/>
          <w:szCs w:val="24"/>
        </w:rPr>
        <w:t>/</w:t>
      </w:r>
      <w:proofErr w:type="spellStart"/>
      <w:r w:rsidR="001F00CB">
        <w:rPr>
          <w:rFonts w:eastAsia="Times New Roman" w:cstheme="minorHAnsi"/>
          <w:sz w:val="24"/>
          <w:szCs w:val="24"/>
        </w:rPr>
        <w:t>ριών</w:t>
      </w:r>
      <w:proofErr w:type="spellEnd"/>
      <w:r w:rsidRPr="00BE0A57">
        <w:rPr>
          <w:rFonts w:eastAsia="Times New Roman" w:cstheme="minorHAnsi"/>
          <w:sz w:val="24"/>
          <w:szCs w:val="24"/>
        </w:rPr>
        <w:t xml:space="preserve"> με τη μεγαλύτερη, κατά 12.660 πρόσωπα, να καταγράφεται στο εύρος οφειλής από 10.000 έως 100.000 </w:t>
      </w:r>
      <w:r w:rsidR="001F00CB">
        <w:rPr>
          <w:rFonts w:eastAsia="Times New Roman" w:cstheme="minorHAnsi"/>
          <w:sz w:val="24"/>
          <w:szCs w:val="24"/>
        </w:rPr>
        <w:t>€</w:t>
      </w:r>
      <w:r w:rsidRPr="00BE0A57">
        <w:rPr>
          <w:rFonts w:eastAsia="Times New Roman" w:cstheme="minorHAnsi"/>
          <w:sz w:val="24"/>
          <w:szCs w:val="24"/>
        </w:rPr>
        <w:t xml:space="preserve">. Αντίστοιχη είναι η εικόνα και στα ασφαλιστικά ταμεία, αφού σύμφωνα με την προαναφερόμενη Έκθεση του Γραφείου </w:t>
      </w:r>
      <w:r w:rsidR="001F00CB">
        <w:rPr>
          <w:rFonts w:eastAsia="Times New Roman" w:cstheme="minorHAnsi"/>
          <w:sz w:val="24"/>
          <w:szCs w:val="24"/>
        </w:rPr>
        <w:t>Π</w:t>
      </w:r>
      <w:r w:rsidRPr="00BE0A57">
        <w:rPr>
          <w:rFonts w:eastAsia="Times New Roman" w:cstheme="minorHAnsi"/>
          <w:sz w:val="24"/>
          <w:szCs w:val="24"/>
        </w:rPr>
        <w:t>ροϋπολογισμού της Βουλής, ο αριθμός των οφειλετών</w:t>
      </w:r>
      <w:r w:rsidR="001F00CB">
        <w:rPr>
          <w:rFonts w:eastAsia="Times New Roman" w:cstheme="minorHAnsi"/>
          <w:sz w:val="24"/>
          <w:szCs w:val="24"/>
        </w:rPr>
        <w:t>/</w:t>
      </w:r>
      <w:proofErr w:type="spellStart"/>
      <w:r w:rsidR="001F00CB">
        <w:rPr>
          <w:rFonts w:eastAsia="Times New Roman" w:cstheme="minorHAnsi"/>
          <w:sz w:val="24"/>
          <w:szCs w:val="24"/>
        </w:rPr>
        <w:t>ριών</w:t>
      </w:r>
      <w:proofErr w:type="spellEnd"/>
      <w:r w:rsidRPr="00BE0A57">
        <w:rPr>
          <w:rFonts w:eastAsia="Times New Roman" w:cstheme="minorHAnsi"/>
          <w:sz w:val="24"/>
          <w:szCs w:val="24"/>
        </w:rPr>
        <w:t xml:space="preserve"> μειώθηκε κατά 66.311, φθάνοντας</w:t>
      </w:r>
      <w:r w:rsidR="00EE3DCA">
        <w:rPr>
          <w:rFonts w:eastAsia="Times New Roman" w:cstheme="minorHAnsi"/>
          <w:sz w:val="24"/>
          <w:szCs w:val="24"/>
        </w:rPr>
        <w:t xml:space="preserve"> </w:t>
      </w:r>
      <w:r w:rsidRPr="00BE0A57">
        <w:rPr>
          <w:rFonts w:eastAsia="Times New Roman" w:cstheme="minorHAnsi"/>
          <w:sz w:val="24"/>
          <w:szCs w:val="24"/>
        </w:rPr>
        <w:t xml:space="preserve">στο τέλος του τρίτου τριμήνου του 2023 </w:t>
      </w:r>
      <w:r w:rsidR="001F00CB">
        <w:rPr>
          <w:rFonts w:eastAsia="Times New Roman" w:cstheme="minorHAnsi"/>
          <w:sz w:val="24"/>
          <w:szCs w:val="24"/>
        </w:rPr>
        <w:t>στους/</w:t>
      </w:r>
      <w:proofErr w:type="spellStart"/>
      <w:r w:rsidR="001F00CB">
        <w:rPr>
          <w:rFonts w:eastAsia="Times New Roman" w:cstheme="minorHAnsi"/>
          <w:sz w:val="24"/>
          <w:szCs w:val="24"/>
        </w:rPr>
        <w:t>ις</w:t>
      </w:r>
      <w:proofErr w:type="spellEnd"/>
      <w:r w:rsidRPr="00BE0A57">
        <w:rPr>
          <w:rFonts w:eastAsia="Times New Roman" w:cstheme="minorHAnsi"/>
          <w:sz w:val="24"/>
          <w:szCs w:val="24"/>
        </w:rPr>
        <w:t xml:space="preserve"> 2.296.099. </w:t>
      </w:r>
    </w:p>
    <w:p w14:paraId="104D9278" w14:textId="64AC43CB" w:rsidR="00CC423E" w:rsidRPr="00F622BE" w:rsidRDefault="00CC423E" w:rsidP="00700BFC">
      <w:pPr>
        <w:spacing w:after="0" w:line="360" w:lineRule="auto"/>
        <w:jc w:val="both"/>
        <w:rPr>
          <w:rFonts w:eastAsia="Times New Roman" w:cstheme="minorHAnsi"/>
          <w:sz w:val="24"/>
          <w:szCs w:val="24"/>
        </w:rPr>
      </w:pPr>
      <w:r w:rsidRPr="00F622BE">
        <w:rPr>
          <w:rFonts w:eastAsia="Times New Roman" w:cstheme="minorHAnsi"/>
          <w:sz w:val="24"/>
          <w:szCs w:val="24"/>
        </w:rPr>
        <w:t>Ωστόσο, τα ποσοστά των επιχειρήσεων που αντιμετωπίζουν προβλήματα στην καταβολή των υποχρεώσε</w:t>
      </w:r>
      <w:r w:rsidR="001F00CB">
        <w:rPr>
          <w:rFonts w:eastAsia="Times New Roman" w:cstheme="minorHAnsi"/>
          <w:sz w:val="24"/>
          <w:szCs w:val="24"/>
        </w:rPr>
        <w:t>ώ</w:t>
      </w:r>
      <w:r w:rsidRPr="00F622BE">
        <w:rPr>
          <w:rFonts w:eastAsia="Times New Roman" w:cstheme="minorHAnsi"/>
          <w:sz w:val="24"/>
          <w:szCs w:val="24"/>
        </w:rPr>
        <w:t>ν τους παραμένουν ιδιαίτερα υψηλά.</w:t>
      </w:r>
    </w:p>
    <w:p w14:paraId="0AF8BA92" w14:textId="3FB1A68D" w:rsidR="00CC423E" w:rsidRPr="0096256F" w:rsidRDefault="00E72E58" w:rsidP="00700BFC">
      <w:pPr>
        <w:spacing w:after="0" w:line="360" w:lineRule="auto"/>
        <w:jc w:val="both"/>
        <w:rPr>
          <w:rFonts w:eastAsia="Times New Roman" w:cstheme="minorHAnsi"/>
          <w:sz w:val="24"/>
          <w:szCs w:val="24"/>
        </w:rPr>
      </w:pPr>
      <w:r>
        <w:rPr>
          <w:rFonts w:eastAsia="Times New Roman" w:cstheme="minorHAnsi"/>
          <w:sz w:val="24"/>
          <w:szCs w:val="24"/>
        </w:rPr>
        <w:lastRenderedPageBreak/>
        <w:t>Ειδικότερα</w:t>
      </w:r>
      <w:r w:rsidR="00CC423E" w:rsidRPr="0096256F">
        <w:rPr>
          <w:rFonts w:eastAsia="Times New Roman" w:cstheme="minorHAnsi"/>
          <w:sz w:val="24"/>
          <w:szCs w:val="24"/>
        </w:rPr>
        <w:t xml:space="preserve">, το </w:t>
      </w:r>
      <w:r>
        <w:rPr>
          <w:rFonts w:eastAsia="Times New Roman" w:cstheme="minorHAnsi"/>
          <w:sz w:val="24"/>
          <w:szCs w:val="24"/>
        </w:rPr>
        <w:t>30,6</w:t>
      </w:r>
      <w:r w:rsidR="00CC423E" w:rsidRPr="0096256F">
        <w:rPr>
          <w:rFonts w:eastAsia="Times New Roman" w:cstheme="minorHAnsi"/>
          <w:sz w:val="24"/>
          <w:szCs w:val="24"/>
        </w:rPr>
        <w:t>% των μικρών και πολύ μικρών επιχει</w:t>
      </w:r>
      <w:r w:rsidR="008914DB" w:rsidRPr="0096256F">
        <w:rPr>
          <w:rFonts w:eastAsia="Times New Roman" w:cstheme="minorHAnsi"/>
          <w:sz w:val="24"/>
          <w:szCs w:val="24"/>
        </w:rPr>
        <w:t>ρήσεων έχει</w:t>
      </w:r>
      <w:r w:rsidR="00CC423E" w:rsidRPr="0096256F">
        <w:rPr>
          <w:rFonts w:eastAsia="Times New Roman" w:cstheme="minorHAnsi"/>
          <w:sz w:val="24"/>
          <w:szCs w:val="24"/>
        </w:rPr>
        <w:t xml:space="preserve"> τουλάχιστον 1 ληξιπρόθεσμη οφει</w:t>
      </w:r>
      <w:r w:rsidR="008914DB" w:rsidRPr="0096256F">
        <w:rPr>
          <w:rFonts w:eastAsia="Times New Roman" w:cstheme="minorHAnsi"/>
          <w:sz w:val="24"/>
          <w:szCs w:val="24"/>
        </w:rPr>
        <w:t xml:space="preserve">λή, ποσοστό </w:t>
      </w:r>
      <w:r>
        <w:rPr>
          <w:rFonts w:eastAsia="Times New Roman" w:cstheme="minorHAnsi"/>
          <w:sz w:val="24"/>
          <w:szCs w:val="24"/>
        </w:rPr>
        <w:t>αυξημένο</w:t>
      </w:r>
      <w:r w:rsidR="008914DB" w:rsidRPr="0096256F">
        <w:rPr>
          <w:rFonts w:eastAsia="Times New Roman" w:cstheme="minorHAnsi"/>
          <w:sz w:val="24"/>
          <w:szCs w:val="24"/>
        </w:rPr>
        <w:t xml:space="preserve"> σε </w:t>
      </w:r>
      <w:r>
        <w:rPr>
          <w:rFonts w:eastAsia="Times New Roman" w:cstheme="minorHAnsi"/>
          <w:sz w:val="24"/>
          <w:szCs w:val="24"/>
        </w:rPr>
        <w:t>σχέση με την προηγούμενη έρευνα που ήταν 27,2%.</w:t>
      </w:r>
      <w:r w:rsidR="00CC423E" w:rsidRPr="0096256F">
        <w:rPr>
          <w:rFonts w:eastAsia="Times New Roman" w:cstheme="minorHAnsi"/>
          <w:sz w:val="24"/>
          <w:szCs w:val="24"/>
        </w:rPr>
        <w:t xml:space="preserve"> </w:t>
      </w:r>
    </w:p>
    <w:p w14:paraId="031A36A1" w14:textId="1D4F46F7" w:rsidR="00CC423E" w:rsidRPr="0096256F" w:rsidRDefault="00CC423E" w:rsidP="00700BFC">
      <w:pPr>
        <w:spacing w:after="0" w:line="360" w:lineRule="auto"/>
        <w:jc w:val="both"/>
        <w:rPr>
          <w:rFonts w:eastAsia="Times New Roman" w:cstheme="minorHAnsi"/>
          <w:sz w:val="24"/>
          <w:szCs w:val="24"/>
        </w:rPr>
      </w:pPr>
      <w:r w:rsidRPr="0096256F">
        <w:rPr>
          <w:rFonts w:eastAsia="Times New Roman" w:cstheme="minorHAnsi"/>
          <w:sz w:val="24"/>
          <w:szCs w:val="24"/>
        </w:rPr>
        <w:t xml:space="preserve">Όπως φαίνεται στο Γράφημα </w:t>
      </w:r>
      <w:r w:rsidR="00E72E58">
        <w:rPr>
          <w:rFonts w:eastAsia="Times New Roman" w:cstheme="minorHAnsi"/>
          <w:sz w:val="24"/>
          <w:szCs w:val="24"/>
        </w:rPr>
        <w:t>15</w:t>
      </w:r>
      <w:r w:rsidR="001F00CB">
        <w:rPr>
          <w:rFonts w:eastAsia="Times New Roman" w:cstheme="minorHAnsi"/>
          <w:sz w:val="24"/>
          <w:szCs w:val="24"/>
        </w:rPr>
        <w:t>,</w:t>
      </w:r>
      <w:r w:rsidRPr="0096256F">
        <w:rPr>
          <w:rFonts w:eastAsia="Times New Roman" w:cstheme="minorHAnsi"/>
          <w:sz w:val="24"/>
          <w:szCs w:val="24"/>
        </w:rPr>
        <w:t xml:space="preserve"> </w:t>
      </w:r>
      <w:r w:rsidR="00E72E58">
        <w:rPr>
          <w:rFonts w:eastAsia="Times New Roman" w:cstheme="minorHAnsi"/>
          <w:sz w:val="24"/>
          <w:szCs w:val="24"/>
        </w:rPr>
        <w:t xml:space="preserve">από τη μια μεριά </w:t>
      </w:r>
      <w:r w:rsidRPr="0096256F">
        <w:rPr>
          <w:rFonts w:eastAsia="Times New Roman" w:cstheme="minorHAnsi"/>
          <w:sz w:val="24"/>
          <w:szCs w:val="24"/>
        </w:rPr>
        <w:t xml:space="preserve">οι μικρές και πολύ μικρές επιχειρήσεις με 3 ή και περισσότερες </w:t>
      </w:r>
      <w:r w:rsidR="008C5D0E" w:rsidRPr="0096256F">
        <w:rPr>
          <w:rFonts w:eastAsia="Times New Roman" w:cstheme="minorHAnsi"/>
          <w:sz w:val="24"/>
          <w:szCs w:val="24"/>
        </w:rPr>
        <w:t xml:space="preserve">ληξιπρόθεσμες οφειλές υποχωρούν στο </w:t>
      </w:r>
      <w:r w:rsidR="00E72E58">
        <w:rPr>
          <w:rFonts w:eastAsia="Times New Roman" w:cstheme="minorHAnsi"/>
          <w:sz w:val="24"/>
          <w:szCs w:val="24"/>
        </w:rPr>
        <w:t>10,1</w:t>
      </w:r>
      <w:r w:rsidRPr="0096256F">
        <w:rPr>
          <w:rFonts w:eastAsia="Times New Roman" w:cstheme="minorHAnsi"/>
          <w:sz w:val="24"/>
          <w:szCs w:val="24"/>
        </w:rPr>
        <w:t xml:space="preserve">% έναντι </w:t>
      </w:r>
      <w:r w:rsidR="00E72E58">
        <w:rPr>
          <w:rFonts w:eastAsia="Times New Roman" w:cstheme="minorHAnsi"/>
          <w:sz w:val="24"/>
          <w:szCs w:val="24"/>
        </w:rPr>
        <w:t>12</w:t>
      </w:r>
      <w:r w:rsidRPr="0096256F">
        <w:rPr>
          <w:rFonts w:eastAsia="Times New Roman" w:cstheme="minorHAnsi"/>
          <w:sz w:val="24"/>
          <w:szCs w:val="24"/>
        </w:rPr>
        <w:t>% που ήτα</w:t>
      </w:r>
      <w:r w:rsidR="003812C9" w:rsidRPr="0096256F">
        <w:rPr>
          <w:rFonts w:eastAsia="Times New Roman" w:cstheme="minorHAnsi"/>
          <w:sz w:val="24"/>
          <w:szCs w:val="24"/>
        </w:rPr>
        <w:t>ν το προηγούμενο εξάμηνο</w:t>
      </w:r>
      <w:r w:rsidR="002457B3" w:rsidRPr="0096256F">
        <w:rPr>
          <w:rFonts w:eastAsia="Times New Roman" w:cstheme="minorHAnsi"/>
          <w:sz w:val="24"/>
          <w:szCs w:val="24"/>
        </w:rPr>
        <w:t>, ενώ</w:t>
      </w:r>
      <w:r w:rsidR="00BB1812">
        <w:rPr>
          <w:rFonts w:eastAsia="Times New Roman" w:cstheme="minorHAnsi"/>
          <w:sz w:val="24"/>
          <w:szCs w:val="24"/>
        </w:rPr>
        <w:t>,</w:t>
      </w:r>
      <w:r w:rsidR="00E72E58">
        <w:rPr>
          <w:rFonts w:eastAsia="Times New Roman" w:cstheme="minorHAnsi"/>
          <w:sz w:val="24"/>
          <w:szCs w:val="24"/>
        </w:rPr>
        <w:t xml:space="preserve"> από την άλλη </w:t>
      </w:r>
      <w:r w:rsidR="00BB1812">
        <w:rPr>
          <w:rFonts w:eastAsia="Times New Roman" w:cstheme="minorHAnsi"/>
          <w:sz w:val="24"/>
          <w:szCs w:val="24"/>
        </w:rPr>
        <w:t xml:space="preserve">μεριά, </w:t>
      </w:r>
      <w:r w:rsidR="00E72E58">
        <w:rPr>
          <w:rFonts w:eastAsia="Times New Roman" w:cstheme="minorHAnsi"/>
          <w:sz w:val="24"/>
          <w:szCs w:val="24"/>
        </w:rPr>
        <w:t xml:space="preserve">αυξημένα είναι τα ποσοστά </w:t>
      </w:r>
      <w:r w:rsidR="002457B3" w:rsidRPr="0096256F">
        <w:rPr>
          <w:rFonts w:eastAsia="Times New Roman" w:cstheme="minorHAnsi"/>
          <w:sz w:val="24"/>
          <w:szCs w:val="24"/>
        </w:rPr>
        <w:t>των επιχειρήσεων με 2 καθυστερημένες υποχρεώσεις (</w:t>
      </w:r>
      <w:r w:rsidR="00E72E58">
        <w:rPr>
          <w:rFonts w:eastAsia="Times New Roman" w:cstheme="minorHAnsi"/>
          <w:sz w:val="24"/>
          <w:szCs w:val="24"/>
        </w:rPr>
        <w:t>7,4</w:t>
      </w:r>
      <w:r w:rsidR="002457B3" w:rsidRPr="0096256F">
        <w:rPr>
          <w:rFonts w:eastAsia="Times New Roman" w:cstheme="minorHAnsi"/>
          <w:sz w:val="24"/>
          <w:szCs w:val="24"/>
        </w:rPr>
        <w:t xml:space="preserve">% έναντι </w:t>
      </w:r>
      <w:r w:rsidR="00E72E58">
        <w:rPr>
          <w:rFonts w:eastAsia="Times New Roman" w:cstheme="minorHAnsi"/>
          <w:sz w:val="24"/>
          <w:szCs w:val="24"/>
        </w:rPr>
        <w:t>5,6</w:t>
      </w:r>
      <w:r w:rsidR="002457B3" w:rsidRPr="0096256F">
        <w:rPr>
          <w:rFonts w:eastAsia="Times New Roman" w:cstheme="minorHAnsi"/>
          <w:sz w:val="24"/>
          <w:szCs w:val="24"/>
        </w:rPr>
        <w:t>% το προηγούμενο εξάμηνο</w:t>
      </w:r>
      <w:r w:rsidR="00E72E58">
        <w:rPr>
          <w:rFonts w:eastAsia="Times New Roman" w:cstheme="minorHAnsi"/>
          <w:sz w:val="24"/>
          <w:szCs w:val="24"/>
        </w:rPr>
        <w:t xml:space="preserve">) και </w:t>
      </w:r>
      <w:r w:rsidR="0096256F" w:rsidRPr="0096256F">
        <w:rPr>
          <w:rFonts w:eastAsia="Times New Roman" w:cstheme="minorHAnsi"/>
          <w:sz w:val="24"/>
          <w:szCs w:val="24"/>
        </w:rPr>
        <w:t>με</w:t>
      </w:r>
      <w:r w:rsidRPr="0096256F">
        <w:rPr>
          <w:rFonts w:eastAsia="Times New Roman" w:cstheme="minorHAnsi"/>
          <w:sz w:val="24"/>
          <w:szCs w:val="24"/>
        </w:rPr>
        <w:t xml:space="preserve"> 1 ληξιπρόθεσμη οφειλή (</w:t>
      </w:r>
      <w:r w:rsidR="00E72E58">
        <w:rPr>
          <w:rFonts w:eastAsia="Times New Roman" w:cstheme="minorHAnsi"/>
          <w:sz w:val="24"/>
          <w:szCs w:val="24"/>
        </w:rPr>
        <w:t xml:space="preserve">13,1% έναντι </w:t>
      </w:r>
      <w:r w:rsidR="0096256F" w:rsidRPr="0096256F">
        <w:rPr>
          <w:rFonts w:eastAsia="Times New Roman" w:cstheme="minorHAnsi"/>
          <w:sz w:val="24"/>
          <w:szCs w:val="24"/>
        </w:rPr>
        <w:t>9,6</w:t>
      </w:r>
      <w:r w:rsidR="002457B3" w:rsidRPr="0096256F">
        <w:rPr>
          <w:rFonts w:eastAsia="Times New Roman" w:cstheme="minorHAnsi"/>
          <w:sz w:val="24"/>
          <w:szCs w:val="24"/>
        </w:rPr>
        <w:t>%</w:t>
      </w:r>
      <w:r w:rsidR="00E72E58">
        <w:rPr>
          <w:rFonts w:eastAsia="Times New Roman" w:cstheme="minorHAnsi"/>
          <w:sz w:val="24"/>
          <w:szCs w:val="24"/>
        </w:rPr>
        <w:t xml:space="preserve"> το προηγούμενο εξάμηνο</w:t>
      </w:r>
      <w:r w:rsidRPr="0096256F">
        <w:rPr>
          <w:rFonts w:eastAsia="Times New Roman" w:cstheme="minorHAnsi"/>
          <w:sz w:val="24"/>
          <w:szCs w:val="24"/>
        </w:rPr>
        <w:t>).</w:t>
      </w:r>
    </w:p>
    <w:p w14:paraId="1FAE6BD2" w14:textId="0FA89E70" w:rsidR="00CC423E" w:rsidRPr="006043B9" w:rsidRDefault="00E72E58" w:rsidP="00700BFC">
      <w:pPr>
        <w:spacing w:after="0" w:line="360" w:lineRule="auto"/>
        <w:jc w:val="both"/>
        <w:rPr>
          <w:rFonts w:eastAsia="Times New Roman" w:cstheme="minorHAnsi"/>
          <w:sz w:val="24"/>
          <w:szCs w:val="24"/>
          <w:highlight w:val="yellow"/>
        </w:rPr>
      </w:pPr>
      <w:r>
        <w:rPr>
          <w:noProof/>
        </w:rPr>
        <w:drawing>
          <wp:inline distT="0" distB="0" distL="0" distR="0" wp14:anchorId="52D2EE00" wp14:editId="55F17E36">
            <wp:extent cx="6647290" cy="4182386"/>
            <wp:effectExtent l="0" t="0" r="20320" b="27940"/>
            <wp:docPr id="9" name="Γράφημα 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AA8EC8" w14:textId="0562401C" w:rsidR="00CC423E" w:rsidRDefault="0096256F" w:rsidP="00700BFC">
      <w:pPr>
        <w:spacing w:after="0" w:line="360" w:lineRule="auto"/>
        <w:jc w:val="both"/>
        <w:rPr>
          <w:rFonts w:eastAsia="Times New Roman" w:cstheme="minorHAnsi"/>
          <w:sz w:val="24"/>
          <w:szCs w:val="24"/>
        </w:rPr>
      </w:pPr>
      <w:r w:rsidRPr="0096256F">
        <w:rPr>
          <w:rFonts w:eastAsia="Times New Roman" w:cstheme="minorHAnsi"/>
          <w:sz w:val="24"/>
          <w:szCs w:val="24"/>
        </w:rPr>
        <w:t>Από τα επιμέρους στοιχεία</w:t>
      </w:r>
      <w:r w:rsidR="00CC423E" w:rsidRPr="0096256F">
        <w:rPr>
          <w:rFonts w:eastAsia="Times New Roman" w:cstheme="minorHAnsi"/>
          <w:sz w:val="24"/>
          <w:szCs w:val="24"/>
        </w:rPr>
        <w:t xml:space="preserve">, όπως φαίνεται στον Πίνακα </w:t>
      </w:r>
      <w:r w:rsidRPr="0096256F">
        <w:rPr>
          <w:rFonts w:eastAsia="Times New Roman" w:cstheme="minorHAnsi"/>
          <w:sz w:val="24"/>
          <w:szCs w:val="24"/>
        </w:rPr>
        <w:t>1</w:t>
      </w:r>
      <w:r w:rsidR="00BB1812">
        <w:rPr>
          <w:rFonts w:eastAsia="Times New Roman" w:cstheme="minorHAnsi"/>
          <w:sz w:val="24"/>
          <w:szCs w:val="24"/>
        </w:rPr>
        <w:t>,</w:t>
      </w:r>
      <w:r w:rsidR="001E621F" w:rsidRPr="0096256F">
        <w:rPr>
          <w:rFonts w:eastAsia="Times New Roman" w:cstheme="minorHAnsi"/>
          <w:sz w:val="24"/>
          <w:szCs w:val="24"/>
        </w:rPr>
        <w:t xml:space="preserve"> </w:t>
      </w:r>
      <w:r w:rsidR="00CC423E" w:rsidRPr="0096256F">
        <w:rPr>
          <w:rFonts w:eastAsia="Times New Roman" w:cstheme="minorHAnsi"/>
          <w:sz w:val="24"/>
          <w:szCs w:val="24"/>
        </w:rPr>
        <w:t xml:space="preserve">ο βαθμός υπερχρέωσης των μικρών και πολύ μικρών επιχειρήσεων δεν είναι ίδιος. Διαφοροποιείται ανάλογα με τον κλάδο και το μέγεθος των επιχειρήσεων. Οι επιχειρήσεις εστίασης φαίνεται πως αντιμετωπίζουν </w:t>
      </w:r>
      <w:r w:rsidR="008829AB">
        <w:rPr>
          <w:rFonts w:eastAsia="Times New Roman" w:cstheme="minorHAnsi"/>
          <w:sz w:val="24"/>
          <w:szCs w:val="24"/>
        </w:rPr>
        <w:t>σοβαρό</w:t>
      </w:r>
      <w:r w:rsidR="00CC423E" w:rsidRPr="0096256F">
        <w:rPr>
          <w:rFonts w:eastAsia="Times New Roman" w:cstheme="minorHAnsi"/>
          <w:sz w:val="24"/>
          <w:szCs w:val="24"/>
        </w:rPr>
        <w:t xml:space="preserve"> πρόβλημα υπερχρέωσης</w:t>
      </w:r>
      <w:r w:rsidR="002F0FE4">
        <w:rPr>
          <w:rFonts w:eastAsia="Times New Roman" w:cstheme="minorHAnsi"/>
          <w:sz w:val="24"/>
          <w:szCs w:val="24"/>
        </w:rPr>
        <w:t>,</w:t>
      </w:r>
      <w:r w:rsidR="00CC423E" w:rsidRPr="0096256F">
        <w:rPr>
          <w:rFonts w:eastAsia="Times New Roman" w:cstheme="minorHAnsi"/>
          <w:sz w:val="24"/>
          <w:szCs w:val="24"/>
        </w:rPr>
        <w:t xml:space="preserve"> καθώς το </w:t>
      </w:r>
      <w:r w:rsidR="008829AB">
        <w:rPr>
          <w:rFonts w:eastAsia="Times New Roman" w:cstheme="minorHAnsi"/>
          <w:sz w:val="24"/>
          <w:szCs w:val="24"/>
        </w:rPr>
        <w:t>14,7</w:t>
      </w:r>
      <w:r w:rsidR="00CC423E" w:rsidRPr="0096256F">
        <w:rPr>
          <w:rFonts w:eastAsia="Times New Roman" w:cstheme="minorHAnsi"/>
          <w:sz w:val="24"/>
          <w:szCs w:val="24"/>
        </w:rPr>
        <w:t xml:space="preserve">% αυτών έχει τρεις ή και περισσότερες ληξιπρόθεσμες οφειλές. </w:t>
      </w:r>
      <w:r w:rsidR="002F0FE4">
        <w:rPr>
          <w:rFonts w:eastAsia="Times New Roman" w:cstheme="minorHAnsi"/>
          <w:sz w:val="24"/>
          <w:szCs w:val="24"/>
        </w:rPr>
        <w:t>Έντονο πρόβλημα υπερχρέωσης αντιμετωπίζουν, ε</w:t>
      </w:r>
      <w:r w:rsidR="008829AB">
        <w:rPr>
          <w:rFonts w:eastAsia="Times New Roman" w:cstheme="minorHAnsi"/>
          <w:sz w:val="24"/>
          <w:szCs w:val="24"/>
        </w:rPr>
        <w:t>πιπλέον,</w:t>
      </w:r>
      <w:r w:rsidR="00CC423E" w:rsidRPr="0096256F">
        <w:rPr>
          <w:rFonts w:eastAsia="Times New Roman" w:cstheme="minorHAnsi"/>
          <w:sz w:val="24"/>
          <w:szCs w:val="24"/>
        </w:rPr>
        <w:t xml:space="preserve"> οι επιχειρήσεις χωρίς προσωπικό (</w:t>
      </w:r>
      <w:r w:rsidR="008829AB">
        <w:rPr>
          <w:rFonts w:eastAsia="Times New Roman" w:cstheme="minorHAnsi"/>
          <w:sz w:val="24"/>
          <w:szCs w:val="24"/>
        </w:rPr>
        <w:t>13,2</w:t>
      </w:r>
      <w:r w:rsidR="00CC423E" w:rsidRPr="0096256F">
        <w:rPr>
          <w:rFonts w:eastAsia="Times New Roman" w:cstheme="minorHAnsi"/>
          <w:sz w:val="24"/>
          <w:szCs w:val="24"/>
        </w:rPr>
        <w:t>%) και οι επιχειρήσεις με ετήσιο κύκλο εργασιών έως 50.000 € (</w:t>
      </w:r>
      <w:r w:rsidR="008829AB">
        <w:rPr>
          <w:rFonts w:eastAsia="Times New Roman" w:cstheme="minorHAnsi"/>
          <w:sz w:val="24"/>
          <w:szCs w:val="24"/>
        </w:rPr>
        <w:t>15,5</w:t>
      </w:r>
      <w:r w:rsidR="00CC423E" w:rsidRPr="0096256F">
        <w:rPr>
          <w:rFonts w:eastAsia="Times New Roman" w:cstheme="minorHAnsi"/>
          <w:sz w:val="24"/>
          <w:szCs w:val="24"/>
        </w:rPr>
        <w:t>%).</w:t>
      </w:r>
    </w:p>
    <w:p w14:paraId="2C83BE5A" w14:textId="77777777" w:rsidR="00DE77D0" w:rsidRDefault="00DE77D0" w:rsidP="00700BFC">
      <w:pPr>
        <w:spacing w:after="0" w:line="360" w:lineRule="auto"/>
        <w:jc w:val="both"/>
        <w:rPr>
          <w:rFonts w:eastAsia="Times New Roman" w:cstheme="minorHAnsi"/>
          <w:sz w:val="24"/>
          <w:szCs w:val="24"/>
        </w:rPr>
      </w:pPr>
    </w:p>
    <w:p w14:paraId="552A4947" w14:textId="77777777" w:rsidR="00DE77D0" w:rsidRDefault="00DE77D0" w:rsidP="00700BFC">
      <w:pPr>
        <w:spacing w:after="0" w:line="360" w:lineRule="auto"/>
        <w:jc w:val="both"/>
        <w:rPr>
          <w:rFonts w:eastAsia="Times New Roman" w:cstheme="minorHAnsi"/>
          <w:sz w:val="24"/>
          <w:szCs w:val="24"/>
        </w:rPr>
      </w:pPr>
    </w:p>
    <w:p w14:paraId="524A06AD" w14:textId="77777777" w:rsidR="00DE77D0" w:rsidRPr="0096256F" w:rsidRDefault="00DE77D0" w:rsidP="00700BFC">
      <w:pPr>
        <w:spacing w:after="0" w:line="360" w:lineRule="auto"/>
        <w:jc w:val="both"/>
        <w:rPr>
          <w:rFonts w:eastAsia="Times New Roman" w:cstheme="minorHAnsi"/>
          <w:sz w:val="24"/>
          <w:szCs w:val="24"/>
        </w:rPr>
      </w:pPr>
    </w:p>
    <w:tbl>
      <w:tblPr>
        <w:tblW w:w="5000" w:type="pct"/>
        <w:tblLook w:val="04A0" w:firstRow="1" w:lastRow="0" w:firstColumn="1" w:lastColumn="0" w:noHBand="0" w:noVBand="1"/>
      </w:tblPr>
      <w:tblGrid>
        <w:gridCol w:w="1714"/>
        <w:gridCol w:w="1045"/>
        <w:gridCol w:w="1073"/>
        <w:gridCol w:w="976"/>
        <w:gridCol w:w="963"/>
        <w:gridCol w:w="961"/>
        <w:gridCol w:w="963"/>
        <w:gridCol w:w="970"/>
        <w:gridCol w:w="976"/>
        <w:gridCol w:w="1064"/>
      </w:tblGrid>
      <w:tr w:rsidR="00CC423E" w:rsidRPr="0096256F" w14:paraId="3FEAD6BE" w14:textId="77777777" w:rsidTr="005A25E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43519" w14:textId="3D539632" w:rsidR="00CC423E" w:rsidRPr="0096256F" w:rsidRDefault="00CC423E" w:rsidP="00700BFC">
            <w:pPr>
              <w:spacing w:after="0" w:line="240" w:lineRule="auto"/>
              <w:jc w:val="center"/>
              <w:rPr>
                <w:rFonts w:ascii="Calibri" w:eastAsia="Times New Roman" w:hAnsi="Calibri" w:cs="Calibri"/>
                <w:b/>
                <w:bCs/>
                <w:color w:val="000000"/>
                <w:sz w:val="24"/>
                <w:szCs w:val="24"/>
              </w:rPr>
            </w:pPr>
            <w:r w:rsidRPr="0096256F">
              <w:rPr>
                <w:rFonts w:ascii="Calibri" w:eastAsia="Times New Roman" w:hAnsi="Calibri" w:cs="Calibri"/>
                <w:b/>
                <w:bCs/>
                <w:color w:val="000000"/>
                <w:sz w:val="24"/>
                <w:szCs w:val="24"/>
              </w:rPr>
              <w:lastRenderedPageBreak/>
              <w:t xml:space="preserve">ΠΙΝΑΚΑΣ </w:t>
            </w:r>
            <w:r w:rsidR="00CC4CA7" w:rsidRPr="0096256F">
              <w:rPr>
                <w:rFonts w:ascii="Calibri" w:eastAsia="Times New Roman" w:hAnsi="Calibri" w:cs="Calibri"/>
                <w:b/>
                <w:bCs/>
                <w:color w:val="000000"/>
                <w:sz w:val="24"/>
                <w:szCs w:val="24"/>
              </w:rPr>
              <w:t>1</w:t>
            </w:r>
          </w:p>
          <w:p w14:paraId="2EE5C607" w14:textId="3E3FA471" w:rsidR="00CC423E" w:rsidRPr="0096256F" w:rsidRDefault="00CC423E" w:rsidP="00E72E58">
            <w:pPr>
              <w:spacing w:after="0" w:line="240" w:lineRule="auto"/>
              <w:jc w:val="center"/>
              <w:rPr>
                <w:rFonts w:ascii="Calibri" w:eastAsia="Times New Roman" w:hAnsi="Calibri" w:cs="Calibri"/>
                <w:b/>
                <w:bCs/>
                <w:color w:val="000000"/>
                <w:sz w:val="24"/>
                <w:szCs w:val="24"/>
              </w:rPr>
            </w:pPr>
            <w:r w:rsidRPr="00C6281E">
              <w:rPr>
                <w:rFonts w:ascii="Calibri" w:eastAsia="Times New Roman" w:hAnsi="Calibri" w:cs="Calibri"/>
                <w:b/>
                <w:bCs/>
                <w:color w:val="000000"/>
                <w:sz w:val="24"/>
                <w:szCs w:val="24"/>
              </w:rPr>
              <w:t xml:space="preserve">Βαθμός υπερχρέωσης ανά κατηγορία επιχειρήσεων το </w:t>
            </w:r>
            <w:r w:rsidR="00E72E58">
              <w:rPr>
                <w:rFonts w:ascii="Calibri" w:eastAsia="Times New Roman" w:hAnsi="Calibri" w:cs="Calibri"/>
                <w:b/>
                <w:bCs/>
                <w:color w:val="000000"/>
                <w:sz w:val="24"/>
                <w:szCs w:val="24"/>
              </w:rPr>
              <w:t>δεύτερο</w:t>
            </w:r>
            <w:r w:rsidR="00074CC2" w:rsidRPr="00C6281E">
              <w:rPr>
                <w:rFonts w:ascii="Calibri" w:eastAsia="Times New Roman" w:hAnsi="Calibri" w:cs="Calibri"/>
                <w:b/>
                <w:bCs/>
                <w:color w:val="000000"/>
                <w:sz w:val="24"/>
                <w:szCs w:val="24"/>
              </w:rPr>
              <w:t xml:space="preserve"> εξάμηνο του 2023</w:t>
            </w:r>
          </w:p>
        </w:tc>
      </w:tr>
      <w:tr w:rsidR="008D1E7F" w:rsidRPr="0096256F" w14:paraId="51666BE2" w14:textId="77777777" w:rsidTr="00E72E58">
        <w:trPr>
          <w:trHeight w:val="300"/>
        </w:trPr>
        <w:tc>
          <w:tcPr>
            <w:tcW w:w="801"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F3D113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w:t>
            </w:r>
          </w:p>
        </w:tc>
        <w:tc>
          <w:tcPr>
            <w:tcW w:w="1445" w:type="pct"/>
            <w:gridSpan w:val="3"/>
            <w:tcBorders>
              <w:top w:val="single" w:sz="4" w:space="0" w:color="auto"/>
              <w:left w:val="nil"/>
              <w:bottom w:val="single" w:sz="4" w:space="0" w:color="auto"/>
              <w:right w:val="single" w:sz="4" w:space="0" w:color="auto"/>
            </w:tcBorders>
            <w:shd w:val="clear" w:color="D9E1F2" w:fill="D9E1F2"/>
            <w:vAlign w:val="center"/>
            <w:hideMark/>
          </w:tcPr>
          <w:p w14:paraId="54C9AF5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ΚΛΑΔΟΣ</w:t>
            </w:r>
          </w:p>
        </w:tc>
        <w:tc>
          <w:tcPr>
            <w:tcW w:w="2754" w:type="pct"/>
            <w:gridSpan w:val="6"/>
            <w:tcBorders>
              <w:top w:val="single" w:sz="4" w:space="0" w:color="auto"/>
              <w:left w:val="nil"/>
              <w:bottom w:val="single" w:sz="4" w:space="0" w:color="auto"/>
              <w:right w:val="single" w:sz="4" w:space="0" w:color="auto"/>
            </w:tcBorders>
            <w:shd w:val="clear" w:color="D9E1F2" w:fill="D9E1F2"/>
            <w:vAlign w:val="center"/>
            <w:hideMark/>
          </w:tcPr>
          <w:p w14:paraId="58585FF7"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ΕΤΗΣΙΟΣ ΚΥΚΛΟΣ ΕΡΓΑΣΙΩΝ </w:t>
            </w:r>
          </w:p>
        </w:tc>
      </w:tr>
      <w:tr w:rsidR="0096256F" w:rsidRPr="0096256F" w14:paraId="0E9D355D" w14:textId="77777777" w:rsidTr="00E72E58">
        <w:trPr>
          <w:trHeight w:val="600"/>
        </w:trPr>
        <w:tc>
          <w:tcPr>
            <w:tcW w:w="801" w:type="pct"/>
            <w:vMerge/>
            <w:tcBorders>
              <w:top w:val="nil"/>
              <w:left w:val="single" w:sz="4" w:space="0" w:color="auto"/>
              <w:bottom w:val="single" w:sz="4" w:space="0" w:color="auto"/>
              <w:right w:val="single" w:sz="4" w:space="0" w:color="auto"/>
            </w:tcBorders>
            <w:vAlign w:val="center"/>
            <w:hideMark/>
          </w:tcPr>
          <w:p w14:paraId="61459F2E" w14:textId="77777777" w:rsidR="00CC423E" w:rsidRPr="0096256F" w:rsidRDefault="00CC423E" w:rsidP="00700BFC">
            <w:pPr>
              <w:spacing w:after="0"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46F89EFF"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Εμπόριο</w:t>
            </w:r>
          </w:p>
        </w:tc>
        <w:tc>
          <w:tcPr>
            <w:tcW w:w="501" w:type="pct"/>
            <w:tcBorders>
              <w:top w:val="nil"/>
              <w:left w:val="nil"/>
              <w:bottom w:val="single" w:sz="4" w:space="0" w:color="auto"/>
              <w:right w:val="single" w:sz="4" w:space="0" w:color="auto"/>
            </w:tcBorders>
            <w:shd w:val="clear" w:color="D9E1F2" w:fill="D9E1F2"/>
            <w:vAlign w:val="center"/>
            <w:hideMark/>
          </w:tcPr>
          <w:p w14:paraId="4AF87D12"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Μεταποίηση</w:t>
            </w:r>
          </w:p>
        </w:tc>
        <w:tc>
          <w:tcPr>
            <w:tcW w:w="456" w:type="pct"/>
            <w:tcBorders>
              <w:top w:val="nil"/>
              <w:left w:val="nil"/>
              <w:bottom w:val="single" w:sz="4" w:space="0" w:color="auto"/>
              <w:right w:val="single" w:sz="4" w:space="0" w:color="auto"/>
            </w:tcBorders>
            <w:shd w:val="clear" w:color="D9E1F2" w:fill="D9E1F2"/>
            <w:vAlign w:val="center"/>
            <w:hideMark/>
          </w:tcPr>
          <w:p w14:paraId="39E2EC9D"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Υπηρεσίες</w:t>
            </w:r>
          </w:p>
        </w:tc>
        <w:tc>
          <w:tcPr>
            <w:tcW w:w="450" w:type="pct"/>
            <w:tcBorders>
              <w:top w:val="nil"/>
              <w:left w:val="nil"/>
              <w:bottom w:val="single" w:sz="4" w:space="0" w:color="auto"/>
              <w:right w:val="single" w:sz="4" w:space="0" w:color="auto"/>
            </w:tcBorders>
            <w:shd w:val="clear" w:color="D9E1F2" w:fill="D9E1F2"/>
            <w:vAlign w:val="center"/>
            <w:hideMark/>
          </w:tcPr>
          <w:p w14:paraId="519C0B0A"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Έως 50.000 €</w:t>
            </w:r>
          </w:p>
        </w:tc>
        <w:tc>
          <w:tcPr>
            <w:tcW w:w="449" w:type="pct"/>
            <w:tcBorders>
              <w:top w:val="nil"/>
              <w:left w:val="nil"/>
              <w:bottom w:val="single" w:sz="4" w:space="0" w:color="auto"/>
              <w:right w:val="single" w:sz="4" w:space="0" w:color="auto"/>
            </w:tcBorders>
            <w:shd w:val="clear" w:color="D9E1F2" w:fill="D9E1F2"/>
            <w:vAlign w:val="center"/>
            <w:hideMark/>
          </w:tcPr>
          <w:p w14:paraId="6A606DD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50.000 - 100.000 €</w:t>
            </w:r>
          </w:p>
        </w:tc>
        <w:tc>
          <w:tcPr>
            <w:tcW w:w="450" w:type="pct"/>
            <w:tcBorders>
              <w:top w:val="nil"/>
              <w:left w:val="nil"/>
              <w:bottom w:val="single" w:sz="4" w:space="0" w:color="auto"/>
              <w:right w:val="single" w:sz="4" w:space="0" w:color="auto"/>
            </w:tcBorders>
            <w:shd w:val="clear" w:color="D9E1F2" w:fill="D9E1F2"/>
            <w:vAlign w:val="center"/>
            <w:hideMark/>
          </w:tcPr>
          <w:p w14:paraId="106226C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100.001 - 300.000 €</w:t>
            </w:r>
          </w:p>
        </w:tc>
        <w:tc>
          <w:tcPr>
            <w:tcW w:w="453" w:type="pct"/>
            <w:tcBorders>
              <w:top w:val="nil"/>
              <w:left w:val="nil"/>
              <w:bottom w:val="single" w:sz="4" w:space="0" w:color="auto"/>
              <w:right w:val="single" w:sz="4" w:space="0" w:color="auto"/>
            </w:tcBorders>
            <w:shd w:val="clear" w:color="D9E1F2" w:fill="D9E1F2"/>
            <w:vAlign w:val="center"/>
            <w:hideMark/>
          </w:tcPr>
          <w:p w14:paraId="20763BB8"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300.001 - 500.000 €</w:t>
            </w:r>
          </w:p>
        </w:tc>
        <w:tc>
          <w:tcPr>
            <w:tcW w:w="456" w:type="pct"/>
            <w:tcBorders>
              <w:top w:val="nil"/>
              <w:left w:val="nil"/>
              <w:bottom w:val="single" w:sz="4" w:space="0" w:color="auto"/>
              <w:right w:val="single" w:sz="4" w:space="0" w:color="auto"/>
            </w:tcBorders>
            <w:shd w:val="clear" w:color="D9E1F2" w:fill="D9E1F2"/>
            <w:vAlign w:val="center"/>
            <w:hideMark/>
          </w:tcPr>
          <w:p w14:paraId="72DDC7C0"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500.001 - 1.000.000 €</w:t>
            </w:r>
          </w:p>
        </w:tc>
        <w:tc>
          <w:tcPr>
            <w:tcW w:w="497" w:type="pct"/>
            <w:tcBorders>
              <w:top w:val="nil"/>
              <w:left w:val="nil"/>
              <w:bottom w:val="single" w:sz="4" w:space="0" w:color="auto"/>
              <w:right w:val="single" w:sz="4" w:space="0" w:color="auto"/>
            </w:tcBorders>
            <w:shd w:val="clear" w:color="D9E1F2" w:fill="D9E1F2"/>
            <w:vAlign w:val="center"/>
            <w:hideMark/>
          </w:tcPr>
          <w:p w14:paraId="4144FCA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Πάνω από 1.000.000 €</w:t>
            </w:r>
          </w:p>
        </w:tc>
      </w:tr>
      <w:tr w:rsidR="005D2E35" w:rsidRPr="008829AB" w14:paraId="35E33EA2"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4014E815"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7D18496A" w14:textId="7432D18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14,24%</w:t>
            </w:r>
          </w:p>
        </w:tc>
        <w:tc>
          <w:tcPr>
            <w:tcW w:w="501" w:type="pct"/>
            <w:tcBorders>
              <w:top w:val="nil"/>
              <w:left w:val="nil"/>
              <w:bottom w:val="single" w:sz="4" w:space="0" w:color="auto"/>
              <w:right w:val="single" w:sz="4" w:space="0" w:color="auto"/>
            </w:tcBorders>
            <w:shd w:val="clear" w:color="auto" w:fill="auto"/>
            <w:noWrap/>
            <w:hideMark/>
          </w:tcPr>
          <w:p w14:paraId="27C554E8" w14:textId="68B7DE67"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11,35%</w:t>
            </w:r>
          </w:p>
        </w:tc>
        <w:tc>
          <w:tcPr>
            <w:tcW w:w="456" w:type="pct"/>
            <w:tcBorders>
              <w:top w:val="nil"/>
              <w:left w:val="nil"/>
              <w:bottom w:val="single" w:sz="4" w:space="0" w:color="auto"/>
              <w:right w:val="single" w:sz="4" w:space="0" w:color="auto"/>
            </w:tcBorders>
            <w:shd w:val="clear" w:color="auto" w:fill="auto"/>
            <w:noWrap/>
            <w:hideMark/>
          </w:tcPr>
          <w:p w14:paraId="58570340" w14:textId="41765D23"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13,06%</w:t>
            </w:r>
          </w:p>
        </w:tc>
        <w:tc>
          <w:tcPr>
            <w:tcW w:w="450" w:type="pct"/>
            <w:tcBorders>
              <w:top w:val="nil"/>
              <w:left w:val="nil"/>
              <w:bottom w:val="single" w:sz="4" w:space="0" w:color="auto"/>
              <w:right w:val="single" w:sz="4" w:space="0" w:color="auto"/>
            </w:tcBorders>
            <w:shd w:val="clear" w:color="auto" w:fill="auto"/>
            <w:noWrap/>
            <w:hideMark/>
          </w:tcPr>
          <w:p w14:paraId="1D248638" w14:textId="01B2009A"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14,48%</w:t>
            </w:r>
          </w:p>
        </w:tc>
        <w:tc>
          <w:tcPr>
            <w:tcW w:w="449" w:type="pct"/>
            <w:tcBorders>
              <w:top w:val="nil"/>
              <w:left w:val="nil"/>
              <w:bottom w:val="single" w:sz="4" w:space="0" w:color="auto"/>
              <w:right w:val="single" w:sz="4" w:space="0" w:color="auto"/>
            </w:tcBorders>
            <w:shd w:val="clear" w:color="auto" w:fill="auto"/>
            <w:noWrap/>
            <w:hideMark/>
          </w:tcPr>
          <w:p w14:paraId="1D3DCF43" w14:textId="062BC31E"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14,63%</w:t>
            </w:r>
          </w:p>
        </w:tc>
        <w:tc>
          <w:tcPr>
            <w:tcW w:w="450" w:type="pct"/>
            <w:tcBorders>
              <w:top w:val="nil"/>
              <w:left w:val="nil"/>
              <w:bottom w:val="single" w:sz="4" w:space="0" w:color="auto"/>
              <w:right w:val="single" w:sz="4" w:space="0" w:color="auto"/>
            </w:tcBorders>
            <w:shd w:val="clear" w:color="auto" w:fill="auto"/>
            <w:noWrap/>
            <w:hideMark/>
          </w:tcPr>
          <w:p w14:paraId="67450AAA" w14:textId="23BA46CC"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15,44%</w:t>
            </w:r>
          </w:p>
        </w:tc>
        <w:tc>
          <w:tcPr>
            <w:tcW w:w="453" w:type="pct"/>
            <w:tcBorders>
              <w:top w:val="nil"/>
              <w:left w:val="nil"/>
              <w:bottom w:val="single" w:sz="4" w:space="0" w:color="auto"/>
              <w:right w:val="single" w:sz="4" w:space="0" w:color="auto"/>
            </w:tcBorders>
            <w:shd w:val="clear" w:color="auto" w:fill="auto"/>
            <w:noWrap/>
            <w:hideMark/>
          </w:tcPr>
          <w:p w14:paraId="5EB706FB" w14:textId="3566D7E1"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18,00%</w:t>
            </w:r>
          </w:p>
        </w:tc>
        <w:tc>
          <w:tcPr>
            <w:tcW w:w="456" w:type="pct"/>
            <w:tcBorders>
              <w:top w:val="nil"/>
              <w:left w:val="nil"/>
              <w:bottom w:val="single" w:sz="4" w:space="0" w:color="auto"/>
              <w:right w:val="single" w:sz="4" w:space="0" w:color="auto"/>
            </w:tcBorders>
            <w:shd w:val="clear" w:color="auto" w:fill="auto"/>
            <w:noWrap/>
            <w:hideMark/>
          </w:tcPr>
          <w:p w14:paraId="2E93A240" w14:textId="24280851"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70C44DA2" w14:textId="0DD38422"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3,33%</w:t>
            </w:r>
          </w:p>
        </w:tc>
      </w:tr>
      <w:tr w:rsidR="005D2E35" w:rsidRPr="008829AB" w14:paraId="2C5D765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E68D36"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CC451F1" w14:textId="3D9100E8"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8,28%</w:t>
            </w:r>
          </w:p>
        </w:tc>
        <w:tc>
          <w:tcPr>
            <w:tcW w:w="501" w:type="pct"/>
            <w:tcBorders>
              <w:top w:val="nil"/>
              <w:left w:val="nil"/>
              <w:bottom w:val="single" w:sz="4" w:space="0" w:color="auto"/>
              <w:right w:val="single" w:sz="4" w:space="0" w:color="auto"/>
            </w:tcBorders>
            <w:shd w:val="clear" w:color="auto" w:fill="auto"/>
            <w:noWrap/>
            <w:hideMark/>
          </w:tcPr>
          <w:p w14:paraId="22887806" w14:textId="6D88E103"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8,65%</w:t>
            </w:r>
          </w:p>
        </w:tc>
        <w:tc>
          <w:tcPr>
            <w:tcW w:w="456" w:type="pct"/>
            <w:tcBorders>
              <w:top w:val="nil"/>
              <w:left w:val="nil"/>
              <w:bottom w:val="single" w:sz="4" w:space="0" w:color="auto"/>
              <w:right w:val="single" w:sz="4" w:space="0" w:color="auto"/>
            </w:tcBorders>
            <w:shd w:val="clear" w:color="auto" w:fill="auto"/>
            <w:noWrap/>
            <w:hideMark/>
          </w:tcPr>
          <w:p w14:paraId="6871401D" w14:textId="5B690194"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5,73%</w:t>
            </w:r>
          </w:p>
        </w:tc>
        <w:tc>
          <w:tcPr>
            <w:tcW w:w="450" w:type="pct"/>
            <w:tcBorders>
              <w:top w:val="nil"/>
              <w:left w:val="nil"/>
              <w:bottom w:val="single" w:sz="4" w:space="0" w:color="auto"/>
              <w:right w:val="single" w:sz="4" w:space="0" w:color="auto"/>
            </w:tcBorders>
            <w:shd w:val="clear" w:color="auto" w:fill="auto"/>
            <w:noWrap/>
            <w:hideMark/>
          </w:tcPr>
          <w:p w14:paraId="5BB592BE" w14:textId="1717B97D"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8,62%</w:t>
            </w:r>
          </w:p>
        </w:tc>
        <w:tc>
          <w:tcPr>
            <w:tcW w:w="449" w:type="pct"/>
            <w:tcBorders>
              <w:top w:val="nil"/>
              <w:left w:val="nil"/>
              <w:bottom w:val="single" w:sz="4" w:space="0" w:color="auto"/>
              <w:right w:val="single" w:sz="4" w:space="0" w:color="auto"/>
            </w:tcBorders>
            <w:shd w:val="clear" w:color="auto" w:fill="auto"/>
            <w:noWrap/>
            <w:hideMark/>
          </w:tcPr>
          <w:p w14:paraId="5FCB66AD" w14:textId="4D849D3B"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7,93%</w:t>
            </w:r>
          </w:p>
        </w:tc>
        <w:tc>
          <w:tcPr>
            <w:tcW w:w="450" w:type="pct"/>
            <w:tcBorders>
              <w:top w:val="nil"/>
              <w:left w:val="nil"/>
              <w:bottom w:val="single" w:sz="4" w:space="0" w:color="auto"/>
              <w:right w:val="single" w:sz="4" w:space="0" w:color="auto"/>
            </w:tcBorders>
            <w:shd w:val="clear" w:color="auto" w:fill="auto"/>
            <w:noWrap/>
            <w:hideMark/>
          </w:tcPr>
          <w:p w14:paraId="192EEB05" w14:textId="10FC4FFA"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8,72%</w:t>
            </w:r>
          </w:p>
        </w:tc>
        <w:tc>
          <w:tcPr>
            <w:tcW w:w="453" w:type="pct"/>
            <w:tcBorders>
              <w:top w:val="nil"/>
              <w:left w:val="nil"/>
              <w:bottom w:val="single" w:sz="4" w:space="0" w:color="auto"/>
              <w:right w:val="single" w:sz="4" w:space="0" w:color="auto"/>
            </w:tcBorders>
            <w:shd w:val="clear" w:color="auto" w:fill="auto"/>
            <w:noWrap/>
            <w:hideMark/>
          </w:tcPr>
          <w:p w14:paraId="37FACF12" w14:textId="7DF46784"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4,00%</w:t>
            </w:r>
          </w:p>
        </w:tc>
        <w:tc>
          <w:tcPr>
            <w:tcW w:w="456" w:type="pct"/>
            <w:tcBorders>
              <w:top w:val="nil"/>
              <w:left w:val="nil"/>
              <w:bottom w:val="single" w:sz="4" w:space="0" w:color="auto"/>
              <w:right w:val="single" w:sz="4" w:space="0" w:color="auto"/>
            </w:tcBorders>
            <w:shd w:val="clear" w:color="auto" w:fill="auto"/>
            <w:noWrap/>
            <w:hideMark/>
          </w:tcPr>
          <w:p w14:paraId="2BE6BE7B" w14:textId="021411DA"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4E263F76" w14:textId="55ED0DCA"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0,00%</w:t>
            </w:r>
          </w:p>
        </w:tc>
      </w:tr>
      <w:tr w:rsidR="005D2E35" w:rsidRPr="008829AB" w14:paraId="05FF1E91"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891FE10"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3CC7B76" w14:textId="27D77755"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9,60%</w:t>
            </w:r>
          </w:p>
        </w:tc>
        <w:tc>
          <w:tcPr>
            <w:tcW w:w="501" w:type="pct"/>
            <w:tcBorders>
              <w:top w:val="nil"/>
              <w:left w:val="nil"/>
              <w:bottom w:val="single" w:sz="4" w:space="0" w:color="auto"/>
              <w:right w:val="single" w:sz="4" w:space="0" w:color="auto"/>
            </w:tcBorders>
            <w:shd w:val="clear" w:color="auto" w:fill="auto"/>
            <w:noWrap/>
            <w:hideMark/>
          </w:tcPr>
          <w:p w14:paraId="46A93AEE" w14:textId="5EDFC9A4"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9,19%</w:t>
            </w:r>
          </w:p>
        </w:tc>
        <w:tc>
          <w:tcPr>
            <w:tcW w:w="456" w:type="pct"/>
            <w:tcBorders>
              <w:top w:val="nil"/>
              <w:left w:val="nil"/>
              <w:bottom w:val="single" w:sz="4" w:space="0" w:color="auto"/>
              <w:right w:val="single" w:sz="4" w:space="0" w:color="auto"/>
            </w:tcBorders>
            <w:shd w:val="clear" w:color="auto" w:fill="auto"/>
            <w:noWrap/>
            <w:hideMark/>
          </w:tcPr>
          <w:p w14:paraId="654686DD" w14:textId="357E1C32"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11,15%</w:t>
            </w:r>
          </w:p>
        </w:tc>
        <w:tc>
          <w:tcPr>
            <w:tcW w:w="450" w:type="pct"/>
            <w:tcBorders>
              <w:top w:val="nil"/>
              <w:left w:val="nil"/>
              <w:bottom w:val="single" w:sz="4" w:space="0" w:color="auto"/>
              <w:right w:val="single" w:sz="4" w:space="0" w:color="auto"/>
            </w:tcBorders>
            <w:shd w:val="clear" w:color="auto" w:fill="auto"/>
            <w:noWrap/>
            <w:hideMark/>
          </w:tcPr>
          <w:p w14:paraId="5DB0B449" w14:textId="5593CFF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15,52%</w:t>
            </w:r>
          </w:p>
        </w:tc>
        <w:tc>
          <w:tcPr>
            <w:tcW w:w="449" w:type="pct"/>
            <w:tcBorders>
              <w:top w:val="nil"/>
              <w:left w:val="nil"/>
              <w:bottom w:val="single" w:sz="4" w:space="0" w:color="auto"/>
              <w:right w:val="single" w:sz="4" w:space="0" w:color="auto"/>
            </w:tcBorders>
            <w:shd w:val="clear" w:color="auto" w:fill="auto"/>
            <w:noWrap/>
            <w:hideMark/>
          </w:tcPr>
          <w:p w14:paraId="5F0132DA" w14:textId="0053A851"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10,37%</w:t>
            </w:r>
          </w:p>
        </w:tc>
        <w:tc>
          <w:tcPr>
            <w:tcW w:w="450" w:type="pct"/>
            <w:tcBorders>
              <w:top w:val="nil"/>
              <w:left w:val="nil"/>
              <w:bottom w:val="single" w:sz="4" w:space="0" w:color="auto"/>
              <w:right w:val="single" w:sz="4" w:space="0" w:color="auto"/>
            </w:tcBorders>
            <w:shd w:val="clear" w:color="auto" w:fill="auto"/>
            <w:noWrap/>
            <w:hideMark/>
          </w:tcPr>
          <w:p w14:paraId="4C08C955" w14:textId="00BE497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7,38%</w:t>
            </w:r>
          </w:p>
        </w:tc>
        <w:tc>
          <w:tcPr>
            <w:tcW w:w="453" w:type="pct"/>
            <w:tcBorders>
              <w:top w:val="nil"/>
              <w:left w:val="nil"/>
              <w:bottom w:val="single" w:sz="4" w:space="0" w:color="auto"/>
              <w:right w:val="single" w:sz="4" w:space="0" w:color="auto"/>
            </w:tcBorders>
            <w:shd w:val="clear" w:color="auto" w:fill="auto"/>
            <w:noWrap/>
            <w:hideMark/>
          </w:tcPr>
          <w:p w14:paraId="0820B08D" w14:textId="5F046857"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2,00%</w:t>
            </w:r>
          </w:p>
        </w:tc>
        <w:tc>
          <w:tcPr>
            <w:tcW w:w="456" w:type="pct"/>
            <w:tcBorders>
              <w:top w:val="nil"/>
              <w:left w:val="nil"/>
              <w:bottom w:val="single" w:sz="4" w:space="0" w:color="auto"/>
              <w:right w:val="single" w:sz="4" w:space="0" w:color="auto"/>
            </w:tcBorders>
            <w:shd w:val="clear" w:color="auto" w:fill="auto"/>
            <w:noWrap/>
            <w:hideMark/>
          </w:tcPr>
          <w:p w14:paraId="6921CF90" w14:textId="425BE92F"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2,70%</w:t>
            </w:r>
          </w:p>
        </w:tc>
        <w:tc>
          <w:tcPr>
            <w:tcW w:w="497" w:type="pct"/>
            <w:tcBorders>
              <w:top w:val="nil"/>
              <w:left w:val="nil"/>
              <w:bottom w:val="single" w:sz="4" w:space="0" w:color="auto"/>
              <w:right w:val="single" w:sz="4" w:space="0" w:color="auto"/>
            </w:tcBorders>
            <w:shd w:val="clear" w:color="auto" w:fill="auto"/>
            <w:noWrap/>
            <w:hideMark/>
          </w:tcPr>
          <w:p w14:paraId="5124A5F2" w14:textId="3000B83C"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3,33%</w:t>
            </w:r>
          </w:p>
        </w:tc>
      </w:tr>
      <w:tr w:rsidR="00B64C70" w:rsidRPr="0096256F" w14:paraId="6DC97EF0" w14:textId="77777777" w:rsidTr="00E72E58">
        <w:trPr>
          <w:trHeight w:val="600"/>
        </w:trPr>
        <w:tc>
          <w:tcPr>
            <w:tcW w:w="801" w:type="pct"/>
            <w:vMerge w:val="restart"/>
            <w:tcBorders>
              <w:top w:val="nil"/>
              <w:left w:val="single" w:sz="4" w:space="0" w:color="auto"/>
              <w:bottom w:val="single" w:sz="4" w:space="0" w:color="auto"/>
              <w:right w:val="single" w:sz="4" w:space="0" w:color="auto"/>
            </w:tcBorders>
            <w:shd w:val="clear" w:color="D9E1F2" w:fill="D9E1F2"/>
            <w:vAlign w:val="bottom"/>
            <w:hideMark/>
          </w:tcPr>
          <w:p w14:paraId="27445880" w14:textId="3466D479" w:rsidR="00CC423E" w:rsidRPr="0096256F" w:rsidRDefault="00CC423E" w:rsidP="005C4B00">
            <w:pPr>
              <w:spacing w:line="240" w:lineRule="auto"/>
              <w:rPr>
                <w:rFonts w:ascii="Calibri" w:eastAsia="Times New Roman" w:hAnsi="Calibri" w:cs="Calibri"/>
                <w:b/>
                <w:bCs/>
                <w:color w:val="000000"/>
                <w:sz w:val="16"/>
                <w:szCs w:val="16"/>
              </w:rPr>
            </w:pPr>
          </w:p>
        </w:tc>
        <w:tc>
          <w:tcPr>
            <w:tcW w:w="1895" w:type="pct"/>
            <w:gridSpan w:val="4"/>
            <w:tcBorders>
              <w:top w:val="single" w:sz="4" w:space="0" w:color="auto"/>
              <w:left w:val="nil"/>
              <w:bottom w:val="single" w:sz="4" w:space="0" w:color="auto"/>
              <w:right w:val="single" w:sz="4" w:space="0" w:color="auto"/>
            </w:tcBorders>
            <w:shd w:val="clear" w:color="D9E1F2" w:fill="D9E1F2"/>
            <w:vAlign w:val="center"/>
            <w:hideMark/>
          </w:tcPr>
          <w:p w14:paraId="0403E6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ΑΡΙΘΜΟΣ ΕΡΓΑΖΟΜΕΝΩΝ</w:t>
            </w:r>
          </w:p>
        </w:tc>
        <w:tc>
          <w:tcPr>
            <w:tcW w:w="1808" w:type="pct"/>
            <w:gridSpan w:val="4"/>
            <w:tcBorders>
              <w:top w:val="single" w:sz="4" w:space="0" w:color="auto"/>
              <w:left w:val="nil"/>
              <w:bottom w:val="single" w:sz="4" w:space="0" w:color="auto"/>
              <w:right w:val="single" w:sz="4" w:space="0" w:color="auto"/>
            </w:tcBorders>
            <w:shd w:val="clear" w:color="D9E1F2" w:fill="D9E1F2"/>
            <w:vAlign w:val="center"/>
            <w:hideMark/>
          </w:tcPr>
          <w:p w14:paraId="24A8682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ΓΕΩΓΡΑΦΙΚΗ ΠΕΡΙΟΧΗ</w:t>
            </w:r>
          </w:p>
        </w:tc>
        <w:tc>
          <w:tcPr>
            <w:tcW w:w="497" w:type="pct"/>
            <w:tcBorders>
              <w:top w:val="nil"/>
              <w:left w:val="nil"/>
              <w:bottom w:val="single" w:sz="4" w:space="0" w:color="auto"/>
              <w:right w:val="single" w:sz="4" w:space="0" w:color="auto"/>
            </w:tcBorders>
            <w:shd w:val="clear" w:color="D9E1F2" w:fill="D9E1F2"/>
            <w:vAlign w:val="center"/>
            <w:hideMark/>
          </w:tcPr>
          <w:p w14:paraId="6BB0841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ΥΠΟΚΛΑΔΟΣ</w:t>
            </w:r>
          </w:p>
        </w:tc>
      </w:tr>
      <w:tr w:rsidR="0096256F" w:rsidRPr="0096256F" w14:paraId="0D2D3EA7" w14:textId="77777777" w:rsidTr="00E72E58">
        <w:trPr>
          <w:trHeight w:val="900"/>
        </w:trPr>
        <w:tc>
          <w:tcPr>
            <w:tcW w:w="801" w:type="pct"/>
            <w:vMerge/>
            <w:tcBorders>
              <w:top w:val="nil"/>
              <w:left w:val="single" w:sz="4" w:space="0" w:color="auto"/>
              <w:bottom w:val="single" w:sz="4" w:space="0" w:color="auto"/>
              <w:right w:val="single" w:sz="4" w:space="0" w:color="auto"/>
            </w:tcBorders>
            <w:vAlign w:val="center"/>
            <w:hideMark/>
          </w:tcPr>
          <w:p w14:paraId="6617A9C2" w14:textId="77777777" w:rsidR="00CC423E" w:rsidRPr="0096256F" w:rsidRDefault="00CC423E" w:rsidP="005C4B00">
            <w:pPr>
              <w:spacing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34D858F6"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Χωρίς προσωπικό</w:t>
            </w:r>
          </w:p>
        </w:tc>
        <w:tc>
          <w:tcPr>
            <w:tcW w:w="501" w:type="pct"/>
            <w:tcBorders>
              <w:top w:val="nil"/>
              <w:left w:val="nil"/>
              <w:bottom w:val="single" w:sz="4" w:space="0" w:color="auto"/>
              <w:right w:val="single" w:sz="4" w:space="0" w:color="auto"/>
            </w:tcBorders>
            <w:shd w:val="clear" w:color="D9E1F2" w:fill="D9E1F2"/>
            <w:vAlign w:val="center"/>
            <w:hideMark/>
          </w:tcPr>
          <w:p w14:paraId="6AD994E7"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 έως 4</w:t>
            </w:r>
          </w:p>
        </w:tc>
        <w:tc>
          <w:tcPr>
            <w:tcW w:w="456" w:type="pct"/>
            <w:tcBorders>
              <w:top w:val="nil"/>
              <w:left w:val="nil"/>
              <w:bottom w:val="single" w:sz="4" w:space="0" w:color="auto"/>
              <w:right w:val="single" w:sz="4" w:space="0" w:color="auto"/>
            </w:tcBorders>
            <w:shd w:val="clear" w:color="D9E1F2" w:fill="D9E1F2"/>
            <w:vAlign w:val="center"/>
            <w:hideMark/>
          </w:tcPr>
          <w:p w14:paraId="38326352"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 έως 9</w:t>
            </w:r>
          </w:p>
        </w:tc>
        <w:tc>
          <w:tcPr>
            <w:tcW w:w="450" w:type="pct"/>
            <w:tcBorders>
              <w:top w:val="nil"/>
              <w:left w:val="nil"/>
              <w:bottom w:val="single" w:sz="4" w:space="0" w:color="auto"/>
              <w:right w:val="single" w:sz="4" w:space="0" w:color="auto"/>
            </w:tcBorders>
            <w:shd w:val="clear" w:color="D9E1F2" w:fill="D9E1F2"/>
            <w:vAlign w:val="center"/>
            <w:hideMark/>
          </w:tcPr>
          <w:p w14:paraId="00190EF2" w14:textId="7256ABE7" w:rsidR="00CC423E" w:rsidRPr="0096256F" w:rsidRDefault="00CC423E" w:rsidP="001E621F">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10 </w:t>
            </w:r>
            <w:r w:rsidR="001E621F" w:rsidRPr="0096256F">
              <w:rPr>
                <w:rFonts w:ascii="Calibri" w:eastAsia="Times New Roman" w:hAnsi="Calibri" w:cs="Calibri"/>
                <w:b/>
                <w:bCs/>
                <w:color w:val="000000"/>
                <w:sz w:val="16"/>
                <w:szCs w:val="16"/>
              </w:rPr>
              <w:t>και άνω</w:t>
            </w:r>
          </w:p>
        </w:tc>
        <w:tc>
          <w:tcPr>
            <w:tcW w:w="449" w:type="pct"/>
            <w:tcBorders>
              <w:top w:val="nil"/>
              <w:left w:val="nil"/>
              <w:bottom w:val="single" w:sz="4" w:space="0" w:color="auto"/>
              <w:right w:val="single" w:sz="4" w:space="0" w:color="auto"/>
            </w:tcBorders>
            <w:shd w:val="clear" w:color="D9E1F2" w:fill="D9E1F2"/>
            <w:vAlign w:val="center"/>
            <w:hideMark/>
          </w:tcPr>
          <w:p w14:paraId="5C5EF855"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EL3 ΑΤΤΙΚΗ</w:t>
            </w:r>
          </w:p>
        </w:tc>
        <w:tc>
          <w:tcPr>
            <w:tcW w:w="450" w:type="pct"/>
            <w:tcBorders>
              <w:top w:val="nil"/>
              <w:left w:val="nil"/>
              <w:bottom w:val="single" w:sz="4" w:space="0" w:color="auto"/>
              <w:right w:val="single" w:sz="4" w:space="0" w:color="auto"/>
            </w:tcBorders>
            <w:shd w:val="clear" w:color="D9E1F2" w:fill="D9E1F2"/>
            <w:vAlign w:val="center"/>
            <w:hideMark/>
          </w:tcPr>
          <w:p w14:paraId="4269CB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EL5 ΒΟΡΕΙΑ ΕΛΛΑΔΑ</w:t>
            </w:r>
          </w:p>
        </w:tc>
        <w:tc>
          <w:tcPr>
            <w:tcW w:w="453" w:type="pct"/>
            <w:tcBorders>
              <w:top w:val="nil"/>
              <w:left w:val="nil"/>
              <w:bottom w:val="single" w:sz="4" w:space="0" w:color="auto"/>
              <w:right w:val="single" w:sz="4" w:space="0" w:color="auto"/>
            </w:tcBorders>
            <w:shd w:val="clear" w:color="D9E1F2" w:fill="D9E1F2"/>
            <w:vAlign w:val="center"/>
            <w:hideMark/>
          </w:tcPr>
          <w:p w14:paraId="6FAAB6B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EL6 ΚΕΝΤΡΙΚΗ ΕΛΛΑΔΑ</w:t>
            </w:r>
          </w:p>
        </w:tc>
        <w:tc>
          <w:tcPr>
            <w:tcW w:w="456" w:type="pct"/>
            <w:tcBorders>
              <w:top w:val="nil"/>
              <w:left w:val="nil"/>
              <w:bottom w:val="single" w:sz="4" w:space="0" w:color="auto"/>
              <w:right w:val="single" w:sz="4" w:space="0" w:color="auto"/>
            </w:tcBorders>
            <w:shd w:val="clear" w:color="D9E1F2" w:fill="D9E1F2"/>
            <w:vAlign w:val="center"/>
            <w:hideMark/>
          </w:tcPr>
          <w:p w14:paraId="0331BE0B"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EL4 ΝΗΣΙΑ ΑΙΓΑΙΟΥ &amp; ΚΡΗΤΗ</w:t>
            </w:r>
          </w:p>
        </w:tc>
        <w:tc>
          <w:tcPr>
            <w:tcW w:w="497" w:type="pct"/>
            <w:tcBorders>
              <w:top w:val="nil"/>
              <w:left w:val="nil"/>
              <w:bottom w:val="single" w:sz="4" w:space="0" w:color="auto"/>
              <w:right w:val="single" w:sz="4" w:space="0" w:color="auto"/>
            </w:tcBorders>
            <w:shd w:val="clear" w:color="D9E1F2" w:fill="D9E1F2"/>
            <w:vAlign w:val="center"/>
            <w:hideMark/>
          </w:tcPr>
          <w:p w14:paraId="26545AD4"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Εστίαση</w:t>
            </w:r>
          </w:p>
        </w:tc>
      </w:tr>
      <w:tr w:rsidR="008829AB" w:rsidRPr="005D2E35" w14:paraId="4588A08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BC949AA"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141BACB1" w14:textId="28D584E7"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13,21%</w:t>
            </w:r>
          </w:p>
        </w:tc>
        <w:tc>
          <w:tcPr>
            <w:tcW w:w="501" w:type="pct"/>
            <w:tcBorders>
              <w:top w:val="nil"/>
              <w:left w:val="nil"/>
              <w:bottom w:val="single" w:sz="4" w:space="0" w:color="auto"/>
              <w:right w:val="single" w:sz="4" w:space="0" w:color="auto"/>
            </w:tcBorders>
            <w:shd w:val="clear" w:color="auto" w:fill="auto"/>
            <w:noWrap/>
            <w:hideMark/>
          </w:tcPr>
          <w:p w14:paraId="04BCC30B" w14:textId="3287418B"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14,71%</w:t>
            </w:r>
          </w:p>
        </w:tc>
        <w:tc>
          <w:tcPr>
            <w:tcW w:w="456" w:type="pct"/>
            <w:tcBorders>
              <w:top w:val="nil"/>
              <w:left w:val="nil"/>
              <w:bottom w:val="single" w:sz="4" w:space="0" w:color="auto"/>
              <w:right w:val="single" w:sz="4" w:space="0" w:color="auto"/>
            </w:tcBorders>
            <w:shd w:val="clear" w:color="auto" w:fill="auto"/>
            <w:noWrap/>
            <w:hideMark/>
          </w:tcPr>
          <w:p w14:paraId="58932E13" w14:textId="77EF46BC"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8,91%</w:t>
            </w:r>
          </w:p>
        </w:tc>
        <w:tc>
          <w:tcPr>
            <w:tcW w:w="450" w:type="pct"/>
            <w:tcBorders>
              <w:top w:val="nil"/>
              <w:left w:val="nil"/>
              <w:bottom w:val="single" w:sz="4" w:space="0" w:color="auto"/>
              <w:right w:val="single" w:sz="4" w:space="0" w:color="auto"/>
            </w:tcBorders>
            <w:shd w:val="clear" w:color="auto" w:fill="auto"/>
            <w:noWrap/>
            <w:hideMark/>
          </w:tcPr>
          <w:p w14:paraId="215B67C5" w14:textId="2256C498"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11,54%</w:t>
            </w:r>
          </w:p>
        </w:tc>
        <w:tc>
          <w:tcPr>
            <w:tcW w:w="449" w:type="pct"/>
            <w:tcBorders>
              <w:top w:val="nil"/>
              <w:left w:val="nil"/>
              <w:bottom w:val="single" w:sz="4" w:space="0" w:color="auto"/>
              <w:right w:val="single" w:sz="4" w:space="0" w:color="auto"/>
            </w:tcBorders>
            <w:shd w:val="clear" w:color="auto" w:fill="auto"/>
            <w:noWrap/>
            <w:hideMark/>
          </w:tcPr>
          <w:p w14:paraId="4AA8B460" w14:textId="6EDC43A2"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13,65%</w:t>
            </w:r>
          </w:p>
        </w:tc>
        <w:tc>
          <w:tcPr>
            <w:tcW w:w="450" w:type="pct"/>
            <w:tcBorders>
              <w:top w:val="nil"/>
              <w:left w:val="nil"/>
              <w:bottom w:val="single" w:sz="4" w:space="0" w:color="auto"/>
              <w:right w:val="single" w:sz="4" w:space="0" w:color="auto"/>
            </w:tcBorders>
            <w:shd w:val="clear" w:color="auto" w:fill="auto"/>
            <w:noWrap/>
            <w:hideMark/>
          </w:tcPr>
          <w:p w14:paraId="451CAF7A" w14:textId="2149E1C6"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11,47%</w:t>
            </w:r>
          </w:p>
        </w:tc>
        <w:tc>
          <w:tcPr>
            <w:tcW w:w="453" w:type="pct"/>
            <w:tcBorders>
              <w:top w:val="nil"/>
              <w:left w:val="nil"/>
              <w:bottom w:val="single" w:sz="4" w:space="0" w:color="auto"/>
              <w:right w:val="single" w:sz="4" w:space="0" w:color="auto"/>
            </w:tcBorders>
            <w:shd w:val="clear" w:color="auto" w:fill="auto"/>
            <w:noWrap/>
            <w:hideMark/>
          </w:tcPr>
          <w:p w14:paraId="7884A4AC" w14:textId="54C18506"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14,52%</w:t>
            </w:r>
          </w:p>
        </w:tc>
        <w:tc>
          <w:tcPr>
            <w:tcW w:w="456" w:type="pct"/>
            <w:tcBorders>
              <w:top w:val="nil"/>
              <w:left w:val="nil"/>
              <w:bottom w:val="single" w:sz="4" w:space="0" w:color="auto"/>
              <w:right w:val="single" w:sz="4" w:space="0" w:color="auto"/>
            </w:tcBorders>
            <w:shd w:val="clear" w:color="auto" w:fill="auto"/>
            <w:noWrap/>
            <w:hideMark/>
          </w:tcPr>
          <w:p w14:paraId="13AE5405" w14:textId="221E826D"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12,50%</w:t>
            </w:r>
          </w:p>
        </w:tc>
        <w:tc>
          <w:tcPr>
            <w:tcW w:w="497" w:type="pct"/>
            <w:tcBorders>
              <w:top w:val="nil"/>
              <w:left w:val="nil"/>
              <w:bottom w:val="single" w:sz="4" w:space="0" w:color="auto"/>
              <w:right w:val="single" w:sz="4" w:space="0" w:color="auto"/>
            </w:tcBorders>
            <w:shd w:val="clear" w:color="auto" w:fill="auto"/>
            <w:noWrap/>
            <w:hideMark/>
          </w:tcPr>
          <w:p w14:paraId="21DA0F45" w14:textId="6BA978F5"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18,67%</w:t>
            </w:r>
          </w:p>
        </w:tc>
      </w:tr>
      <w:tr w:rsidR="008829AB" w:rsidRPr="0096256F" w14:paraId="3A83B09B"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258372C6"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ED6E8F3" w14:textId="000E2565"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11,07%</w:t>
            </w:r>
          </w:p>
        </w:tc>
        <w:tc>
          <w:tcPr>
            <w:tcW w:w="501" w:type="pct"/>
            <w:tcBorders>
              <w:top w:val="nil"/>
              <w:left w:val="nil"/>
              <w:bottom w:val="single" w:sz="4" w:space="0" w:color="auto"/>
              <w:right w:val="single" w:sz="4" w:space="0" w:color="auto"/>
            </w:tcBorders>
            <w:shd w:val="clear" w:color="auto" w:fill="auto"/>
            <w:noWrap/>
            <w:hideMark/>
          </w:tcPr>
          <w:p w14:paraId="55B39602" w14:textId="2D5A4E8E"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6,18%</w:t>
            </w:r>
          </w:p>
        </w:tc>
        <w:tc>
          <w:tcPr>
            <w:tcW w:w="456" w:type="pct"/>
            <w:tcBorders>
              <w:top w:val="nil"/>
              <w:left w:val="nil"/>
              <w:bottom w:val="single" w:sz="4" w:space="0" w:color="auto"/>
              <w:right w:val="single" w:sz="4" w:space="0" w:color="auto"/>
            </w:tcBorders>
            <w:shd w:val="clear" w:color="auto" w:fill="auto"/>
            <w:noWrap/>
            <w:hideMark/>
          </w:tcPr>
          <w:p w14:paraId="658E9B7F" w14:textId="7E5CBF7E"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5,94%</w:t>
            </w:r>
          </w:p>
        </w:tc>
        <w:tc>
          <w:tcPr>
            <w:tcW w:w="450" w:type="pct"/>
            <w:tcBorders>
              <w:top w:val="nil"/>
              <w:left w:val="nil"/>
              <w:bottom w:val="single" w:sz="4" w:space="0" w:color="auto"/>
              <w:right w:val="single" w:sz="4" w:space="0" w:color="auto"/>
            </w:tcBorders>
            <w:shd w:val="clear" w:color="auto" w:fill="auto"/>
            <w:noWrap/>
            <w:hideMark/>
          </w:tcPr>
          <w:p w14:paraId="2AF04FFF" w14:textId="6388EAFA"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1,28%</w:t>
            </w:r>
          </w:p>
        </w:tc>
        <w:tc>
          <w:tcPr>
            <w:tcW w:w="449" w:type="pct"/>
            <w:tcBorders>
              <w:top w:val="nil"/>
              <w:left w:val="nil"/>
              <w:bottom w:val="single" w:sz="4" w:space="0" w:color="auto"/>
              <w:right w:val="single" w:sz="4" w:space="0" w:color="auto"/>
            </w:tcBorders>
            <w:shd w:val="clear" w:color="auto" w:fill="auto"/>
            <w:noWrap/>
            <w:hideMark/>
          </w:tcPr>
          <w:p w14:paraId="6039C2F3" w14:textId="15C574B3"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9,56%</w:t>
            </w:r>
          </w:p>
        </w:tc>
        <w:tc>
          <w:tcPr>
            <w:tcW w:w="450" w:type="pct"/>
            <w:tcBorders>
              <w:top w:val="nil"/>
              <w:left w:val="nil"/>
              <w:bottom w:val="single" w:sz="4" w:space="0" w:color="auto"/>
              <w:right w:val="single" w:sz="4" w:space="0" w:color="auto"/>
            </w:tcBorders>
            <w:shd w:val="clear" w:color="auto" w:fill="auto"/>
            <w:noWrap/>
            <w:hideMark/>
          </w:tcPr>
          <w:p w14:paraId="22F8D1E6" w14:textId="45251955"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6,42%</w:t>
            </w:r>
          </w:p>
        </w:tc>
        <w:tc>
          <w:tcPr>
            <w:tcW w:w="453" w:type="pct"/>
            <w:tcBorders>
              <w:top w:val="nil"/>
              <w:left w:val="nil"/>
              <w:bottom w:val="single" w:sz="4" w:space="0" w:color="auto"/>
              <w:right w:val="single" w:sz="4" w:space="0" w:color="auto"/>
            </w:tcBorders>
            <w:shd w:val="clear" w:color="auto" w:fill="auto"/>
            <w:noWrap/>
            <w:hideMark/>
          </w:tcPr>
          <w:p w14:paraId="3E99346E" w14:textId="1308B222"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5,38%</w:t>
            </w:r>
          </w:p>
        </w:tc>
        <w:tc>
          <w:tcPr>
            <w:tcW w:w="456" w:type="pct"/>
            <w:tcBorders>
              <w:top w:val="nil"/>
              <w:left w:val="nil"/>
              <w:bottom w:val="single" w:sz="4" w:space="0" w:color="auto"/>
              <w:right w:val="single" w:sz="4" w:space="0" w:color="auto"/>
            </w:tcBorders>
            <w:shd w:val="clear" w:color="auto" w:fill="auto"/>
            <w:noWrap/>
            <w:hideMark/>
          </w:tcPr>
          <w:p w14:paraId="167D2B91" w14:textId="40BDEF48"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6,73%</w:t>
            </w:r>
          </w:p>
        </w:tc>
        <w:tc>
          <w:tcPr>
            <w:tcW w:w="497" w:type="pct"/>
            <w:tcBorders>
              <w:top w:val="nil"/>
              <w:left w:val="nil"/>
              <w:bottom w:val="single" w:sz="4" w:space="0" w:color="auto"/>
              <w:right w:val="single" w:sz="4" w:space="0" w:color="auto"/>
            </w:tcBorders>
            <w:shd w:val="clear" w:color="auto" w:fill="auto"/>
            <w:noWrap/>
            <w:hideMark/>
          </w:tcPr>
          <w:p w14:paraId="5AFD17B7" w14:textId="0AF019FA"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2,67%</w:t>
            </w:r>
          </w:p>
        </w:tc>
      </w:tr>
      <w:tr w:rsidR="008829AB" w:rsidRPr="006043B9" w14:paraId="56F8E6ED"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1AFE14"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B9221F4" w14:textId="07B1F8FB"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13,21%</w:t>
            </w:r>
          </w:p>
        </w:tc>
        <w:tc>
          <w:tcPr>
            <w:tcW w:w="501" w:type="pct"/>
            <w:tcBorders>
              <w:top w:val="nil"/>
              <w:left w:val="nil"/>
              <w:bottom w:val="single" w:sz="4" w:space="0" w:color="auto"/>
              <w:right w:val="single" w:sz="4" w:space="0" w:color="auto"/>
            </w:tcBorders>
            <w:shd w:val="clear" w:color="auto" w:fill="auto"/>
            <w:noWrap/>
            <w:hideMark/>
          </w:tcPr>
          <w:p w14:paraId="402D5B91" w14:textId="6D5CF354"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11,47%</w:t>
            </w:r>
          </w:p>
        </w:tc>
        <w:tc>
          <w:tcPr>
            <w:tcW w:w="456" w:type="pct"/>
            <w:tcBorders>
              <w:top w:val="nil"/>
              <w:left w:val="nil"/>
              <w:bottom w:val="single" w:sz="4" w:space="0" w:color="auto"/>
              <w:right w:val="single" w:sz="4" w:space="0" w:color="auto"/>
            </w:tcBorders>
            <w:shd w:val="clear" w:color="auto" w:fill="auto"/>
            <w:noWrap/>
            <w:hideMark/>
          </w:tcPr>
          <w:p w14:paraId="271E9FEC" w14:textId="07DDA741"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3,96%</w:t>
            </w:r>
          </w:p>
        </w:tc>
        <w:tc>
          <w:tcPr>
            <w:tcW w:w="450" w:type="pct"/>
            <w:tcBorders>
              <w:top w:val="nil"/>
              <w:left w:val="nil"/>
              <w:bottom w:val="single" w:sz="4" w:space="0" w:color="auto"/>
              <w:right w:val="single" w:sz="4" w:space="0" w:color="auto"/>
            </w:tcBorders>
            <w:shd w:val="clear" w:color="auto" w:fill="auto"/>
            <w:noWrap/>
            <w:hideMark/>
          </w:tcPr>
          <w:p w14:paraId="5CE9D6D5" w14:textId="3369F7D8"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0,00%</w:t>
            </w:r>
          </w:p>
        </w:tc>
        <w:tc>
          <w:tcPr>
            <w:tcW w:w="449" w:type="pct"/>
            <w:tcBorders>
              <w:top w:val="nil"/>
              <w:left w:val="nil"/>
              <w:bottom w:val="single" w:sz="4" w:space="0" w:color="auto"/>
              <w:right w:val="single" w:sz="4" w:space="0" w:color="auto"/>
            </w:tcBorders>
            <w:shd w:val="clear" w:color="auto" w:fill="auto"/>
            <w:noWrap/>
            <w:hideMark/>
          </w:tcPr>
          <w:p w14:paraId="11E388C4" w14:textId="75F1E966"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10,24%</w:t>
            </w:r>
          </w:p>
        </w:tc>
        <w:tc>
          <w:tcPr>
            <w:tcW w:w="450" w:type="pct"/>
            <w:tcBorders>
              <w:top w:val="nil"/>
              <w:left w:val="nil"/>
              <w:bottom w:val="single" w:sz="4" w:space="0" w:color="auto"/>
              <w:right w:val="single" w:sz="4" w:space="0" w:color="auto"/>
            </w:tcBorders>
            <w:shd w:val="clear" w:color="auto" w:fill="auto"/>
            <w:noWrap/>
            <w:hideMark/>
          </w:tcPr>
          <w:p w14:paraId="61028372" w14:textId="2ED2720F"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9,63%</w:t>
            </w:r>
          </w:p>
        </w:tc>
        <w:tc>
          <w:tcPr>
            <w:tcW w:w="453" w:type="pct"/>
            <w:tcBorders>
              <w:top w:val="nil"/>
              <w:left w:val="nil"/>
              <w:bottom w:val="single" w:sz="4" w:space="0" w:color="auto"/>
              <w:right w:val="single" w:sz="4" w:space="0" w:color="auto"/>
            </w:tcBorders>
            <w:shd w:val="clear" w:color="auto" w:fill="auto"/>
            <w:noWrap/>
            <w:hideMark/>
          </w:tcPr>
          <w:p w14:paraId="387987C1" w14:textId="5C1166AB"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8,60%</w:t>
            </w:r>
          </w:p>
        </w:tc>
        <w:tc>
          <w:tcPr>
            <w:tcW w:w="456" w:type="pct"/>
            <w:tcBorders>
              <w:top w:val="nil"/>
              <w:left w:val="nil"/>
              <w:bottom w:val="single" w:sz="4" w:space="0" w:color="auto"/>
              <w:right w:val="single" w:sz="4" w:space="0" w:color="auto"/>
            </w:tcBorders>
            <w:shd w:val="clear" w:color="auto" w:fill="auto"/>
            <w:noWrap/>
            <w:hideMark/>
          </w:tcPr>
          <w:p w14:paraId="2959BAB3" w14:textId="698060E4"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13,46%</w:t>
            </w:r>
          </w:p>
        </w:tc>
        <w:tc>
          <w:tcPr>
            <w:tcW w:w="497" w:type="pct"/>
            <w:tcBorders>
              <w:top w:val="nil"/>
              <w:left w:val="nil"/>
              <w:bottom w:val="single" w:sz="4" w:space="0" w:color="auto"/>
              <w:right w:val="single" w:sz="4" w:space="0" w:color="auto"/>
            </w:tcBorders>
            <w:shd w:val="clear" w:color="auto" w:fill="auto"/>
            <w:noWrap/>
            <w:hideMark/>
          </w:tcPr>
          <w:p w14:paraId="725C38B8" w14:textId="06DF58B2"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14,67%</w:t>
            </w:r>
          </w:p>
        </w:tc>
      </w:tr>
    </w:tbl>
    <w:p w14:paraId="25BFE425" w14:textId="77777777" w:rsidR="00CC423E" w:rsidRPr="006043B9" w:rsidRDefault="00CC423E" w:rsidP="00700BFC">
      <w:pPr>
        <w:spacing w:after="0" w:line="360" w:lineRule="auto"/>
        <w:jc w:val="both"/>
        <w:rPr>
          <w:rFonts w:eastAsia="Times New Roman" w:cstheme="minorHAnsi"/>
          <w:sz w:val="24"/>
          <w:szCs w:val="24"/>
          <w:highlight w:val="yellow"/>
        </w:rPr>
      </w:pPr>
    </w:p>
    <w:p w14:paraId="4229B09B"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 xml:space="preserve">Όσον αφορά την κάθε κατηγορία υποχρεώσεων, τα ευρήματα της έρευνας είναι τα εξής: </w:t>
      </w:r>
    </w:p>
    <w:p w14:paraId="54690F3C"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12,2% των μικρών και πολύ μικρών επιχειρήσεων δήλωσε πως έχει ληξιπρόθεσμες οφειλές προς τον πρώην ΟΑΕΕ,</w:t>
      </w:r>
    </w:p>
    <w:p w14:paraId="5D7A6456"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9,9% δήλωσε πως έχει ληξιπρόθεσμες οφειλές σε λογαριασμούς ενέργειας,</w:t>
      </w:r>
    </w:p>
    <w:p w14:paraId="3B681487"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13,6% δήλωσε πως έχει ληξιπρόθεσμες οφειλές προς προμηθευτές,</w:t>
      </w:r>
    </w:p>
    <w:p w14:paraId="22E85E5B"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11,5% δήλωσε πως έχει ληξιπρόθεσμες οφειλές προς την εφορία,</w:t>
      </w:r>
    </w:p>
    <w:p w14:paraId="47787E55" w14:textId="25422580"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6,9% δήλωσε πως έχει ληξιπρόθεσμες οφειλές ενοικίου</w:t>
      </w:r>
      <w:r w:rsidR="002F0FE4">
        <w:rPr>
          <w:rFonts w:eastAsia="Times New Roman" w:cstheme="minorHAnsi"/>
          <w:sz w:val="24"/>
          <w:szCs w:val="24"/>
        </w:rPr>
        <w:t>,</w:t>
      </w:r>
    </w:p>
    <w:p w14:paraId="74936256" w14:textId="75A5633B"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ο 6,7% δήλωσε πως έχει ληξιπρόθεσμες οφειλές σε λοιπούς λογαριασμούς (νερό, τηλεφωνία κ.λπ.),</w:t>
      </w:r>
    </w:p>
    <w:p w14:paraId="553066D1" w14:textId="64DCD66D"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6,6% δήλωσε πως έχει λη</w:t>
      </w:r>
      <w:r w:rsidR="0016123E">
        <w:rPr>
          <w:rFonts w:eastAsia="Times New Roman" w:cstheme="minorHAnsi"/>
          <w:sz w:val="24"/>
          <w:szCs w:val="24"/>
        </w:rPr>
        <w:t>ξιπρόθεσμες τραπεζικές οφειλές</w:t>
      </w:r>
      <w:r w:rsidR="002F0FE4">
        <w:rPr>
          <w:rFonts w:eastAsia="Times New Roman" w:cstheme="minorHAnsi"/>
          <w:sz w:val="24"/>
          <w:szCs w:val="24"/>
        </w:rPr>
        <w:t>,</w:t>
      </w:r>
    </w:p>
    <w:p w14:paraId="189CD7EC" w14:textId="071B0784" w:rsid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ο 4,2% δήλωσε πως έχει ληξιπρόθεσμες οφειλές προς το πρώην ΙΚΑ.</w:t>
      </w:r>
    </w:p>
    <w:p w14:paraId="125874D0" w14:textId="77777777" w:rsidR="00F17F6B" w:rsidRDefault="00F17F6B" w:rsidP="00F17F6B">
      <w:pPr>
        <w:spacing w:after="0" w:line="240" w:lineRule="auto"/>
        <w:jc w:val="both"/>
        <w:rPr>
          <w:rFonts w:eastAsia="Times New Roman" w:cstheme="minorHAnsi"/>
          <w:sz w:val="24"/>
          <w:szCs w:val="24"/>
        </w:rPr>
      </w:pPr>
    </w:p>
    <w:p w14:paraId="66861013" w14:textId="0EF35541" w:rsidR="00F17F6B" w:rsidRDefault="00F17F6B" w:rsidP="00F17F6B">
      <w:pPr>
        <w:spacing w:after="0" w:line="240" w:lineRule="auto"/>
        <w:jc w:val="both"/>
        <w:rPr>
          <w:rFonts w:eastAsia="Times New Roman" w:cstheme="minorHAnsi"/>
          <w:sz w:val="24"/>
          <w:szCs w:val="24"/>
        </w:rPr>
      </w:pPr>
      <w:r>
        <w:rPr>
          <w:noProof/>
        </w:rPr>
        <w:lastRenderedPageBreak/>
        <w:drawing>
          <wp:inline distT="0" distB="0" distL="0" distR="0" wp14:anchorId="281A51F1" wp14:editId="533B78F4">
            <wp:extent cx="6233822" cy="2743200"/>
            <wp:effectExtent l="0" t="0" r="14605" b="1905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41445C2" w14:textId="758A0D35" w:rsidR="008829AB" w:rsidRDefault="00F17F6B" w:rsidP="00F17F6B">
      <w:pPr>
        <w:spacing w:after="0" w:line="240" w:lineRule="auto"/>
        <w:jc w:val="both"/>
        <w:rPr>
          <w:rFonts w:eastAsia="Times New Roman" w:cstheme="minorHAnsi"/>
          <w:sz w:val="20"/>
          <w:szCs w:val="20"/>
        </w:rPr>
      </w:pPr>
      <w:r w:rsidRPr="00F17F6B">
        <w:rPr>
          <w:rFonts w:eastAsia="Times New Roman" w:cstheme="minorHAnsi"/>
          <w:sz w:val="20"/>
          <w:szCs w:val="20"/>
        </w:rPr>
        <w:t>* Στο σύνολο των επιχειρήσεων</w:t>
      </w:r>
    </w:p>
    <w:p w14:paraId="058FBD7F" w14:textId="77777777" w:rsidR="00033B51" w:rsidRDefault="00033B51" w:rsidP="008829AB">
      <w:pPr>
        <w:spacing w:after="0" w:line="360" w:lineRule="auto"/>
        <w:jc w:val="both"/>
        <w:rPr>
          <w:rFonts w:eastAsia="Times New Roman" w:cstheme="minorHAnsi"/>
          <w:sz w:val="20"/>
          <w:szCs w:val="20"/>
        </w:rPr>
      </w:pPr>
    </w:p>
    <w:p w14:paraId="30138585" w14:textId="6B78BF86"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Όσον αφορά το ύψος των οφειλών των επιχειρήσεων</w:t>
      </w:r>
      <w:r w:rsidR="00F17F6B">
        <w:rPr>
          <w:rFonts w:eastAsia="Times New Roman" w:cstheme="minorHAnsi"/>
          <w:sz w:val="24"/>
          <w:szCs w:val="24"/>
        </w:rPr>
        <w:t xml:space="preserve"> που έχουν οφειλή/</w:t>
      </w:r>
      <w:proofErr w:type="spellStart"/>
      <w:r w:rsidR="00F17F6B">
        <w:rPr>
          <w:rFonts w:eastAsia="Times New Roman" w:cstheme="minorHAnsi"/>
          <w:sz w:val="24"/>
          <w:szCs w:val="24"/>
        </w:rPr>
        <w:t>ές</w:t>
      </w:r>
      <w:proofErr w:type="spellEnd"/>
      <w:r w:rsidR="00F17F6B">
        <w:rPr>
          <w:rFonts w:eastAsia="Times New Roman" w:cstheme="minorHAnsi"/>
          <w:sz w:val="24"/>
          <w:szCs w:val="24"/>
        </w:rPr>
        <w:t xml:space="preserve"> (Γράφημα 17</w:t>
      </w:r>
      <w:r w:rsidRPr="008829AB">
        <w:rPr>
          <w:rFonts w:eastAsia="Times New Roman" w:cstheme="minorHAnsi"/>
          <w:sz w:val="24"/>
          <w:szCs w:val="24"/>
        </w:rPr>
        <w:t>):</w:t>
      </w:r>
    </w:p>
    <w:p w14:paraId="77F60E5D" w14:textId="23B5F313" w:rsidR="008829AB" w:rsidRPr="008829AB" w:rsidRDefault="008829AB" w:rsidP="008829AB">
      <w:pPr>
        <w:spacing w:after="0" w:line="360" w:lineRule="auto"/>
        <w:jc w:val="both"/>
        <w:rPr>
          <w:rFonts w:eastAsia="Times New Roman" w:cstheme="minorHAnsi"/>
          <w:sz w:val="24"/>
          <w:szCs w:val="24"/>
        </w:rPr>
      </w:pPr>
      <w:r>
        <w:rPr>
          <w:rFonts w:eastAsia="Times New Roman" w:cstheme="minorHAnsi"/>
          <w:sz w:val="24"/>
          <w:szCs w:val="24"/>
        </w:rPr>
        <w:t>•</w:t>
      </w:r>
      <w:r>
        <w:rPr>
          <w:rFonts w:eastAsia="Times New Roman" w:cstheme="minorHAnsi"/>
          <w:sz w:val="24"/>
          <w:szCs w:val="24"/>
        </w:rPr>
        <w:tab/>
        <w:t>το 45</w:t>
      </w:r>
      <w:r w:rsidRPr="008829AB">
        <w:rPr>
          <w:rFonts w:eastAsia="Times New Roman" w:cstheme="minorHAnsi"/>
          <w:sz w:val="24"/>
          <w:szCs w:val="24"/>
        </w:rPr>
        <w:t xml:space="preserve">,3% έχει καθυστερημένες υποχρεώσεις έως 10.000 €, </w:t>
      </w:r>
    </w:p>
    <w:p w14:paraId="3591F7D4" w14:textId="383F8A61"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13,5% από 10.001 έως 20.000 €</w:t>
      </w:r>
      <w:r w:rsidR="002F0FE4">
        <w:rPr>
          <w:rFonts w:eastAsia="Times New Roman" w:cstheme="minorHAnsi"/>
          <w:sz w:val="24"/>
          <w:szCs w:val="24"/>
        </w:rPr>
        <w:t>,</w:t>
      </w:r>
    </w:p>
    <w:p w14:paraId="3BDD4506" w14:textId="78AC7ACF"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14,7% από 20.001 έως 50.000 €</w:t>
      </w:r>
      <w:r w:rsidR="002F0FE4">
        <w:rPr>
          <w:rFonts w:eastAsia="Times New Roman" w:cstheme="minorHAnsi"/>
          <w:sz w:val="24"/>
          <w:szCs w:val="24"/>
        </w:rPr>
        <w:t>,</w:t>
      </w:r>
    </w:p>
    <w:p w14:paraId="32ADDC2F" w14:textId="552B6915"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5,7% από 50.001 έως 100.000 €</w:t>
      </w:r>
      <w:r w:rsidR="002F0FE4">
        <w:rPr>
          <w:rFonts w:eastAsia="Times New Roman" w:cstheme="minorHAnsi"/>
          <w:sz w:val="24"/>
          <w:szCs w:val="24"/>
        </w:rPr>
        <w:t>, και</w:t>
      </w:r>
    </w:p>
    <w:p w14:paraId="52E4CB38" w14:textId="098C9BC4"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6,9% πάνω από 100.000 €</w:t>
      </w:r>
      <w:r w:rsidR="002F0FE4">
        <w:rPr>
          <w:rFonts w:eastAsia="Times New Roman" w:cstheme="minorHAnsi"/>
          <w:sz w:val="24"/>
          <w:szCs w:val="24"/>
        </w:rPr>
        <w:t>.</w:t>
      </w:r>
    </w:p>
    <w:p w14:paraId="2D5FCE6F" w14:textId="735F590B" w:rsidR="008829AB" w:rsidRDefault="008829AB" w:rsidP="00106AC7">
      <w:pPr>
        <w:spacing w:after="0" w:line="360" w:lineRule="auto"/>
        <w:jc w:val="both"/>
        <w:rPr>
          <w:rFonts w:eastAsia="Times New Roman" w:cstheme="minorHAnsi"/>
          <w:sz w:val="24"/>
          <w:szCs w:val="24"/>
        </w:rPr>
      </w:pPr>
      <w:r w:rsidRPr="00A344D0">
        <w:rPr>
          <w:rFonts w:ascii="Calibri" w:eastAsia="Times New Roman" w:hAnsi="Calibri" w:cs="Times New Roman"/>
          <w:noProof/>
        </w:rPr>
        <w:drawing>
          <wp:inline distT="0" distB="0" distL="0" distR="0" wp14:anchorId="2BE7ED1D" wp14:editId="3BFC9EBE">
            <wp:extent cx="6655241" cy="3236181"/>
            <wp:effectExtent l="0" t="0" r="12700" b="21590"/>
            <wp:docPr id="17" name="Γράφημα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88D06D5" w14:textId="77777777" w:rsidR="00033B51" w:rsidRDefault="00033B51" w:rsidP="0016123E">
      <w:pPr>
        <w:spacing w:after="0" w:line="360" w:lineRule="auto"/>
        <w:jc w:val="both"/>
        <w:rPr>
          <w:sz w:val="24"/>
          <w:szCs w:val="24"/>
        </w:rPr>
      </w:pPr>
    </w:p>
    <w:p w14:paraId="3A89BABC" w14:textId="76655579" w:rsidR="00F17F6B" w:rsidRDefault="0016123E" w:rsidP="0016123E">
      <w:pPr>
        <w:spacing w:after="0" w:line="360" w:lineRule="auto"/>
        <w:jc w:val="both"/>
        <w:rPr>
          <w:sz w:val="24"/>
          <w:szCs w:val="24"/>
        </w:rPr>
      </w:pPr>
      <w:r w:rsidRPr="0016123E">
        <w:rPr>
          <w:sz w:val="24"/>
          <w:szCs w:val="24"/>
        </w:rPr>
        <w:lastRenderedPageBreak/>
        <w:t xml:space="preserve">Σε </w:t>
      </w:r>
      <w:proofErr w:type="spellStart"/>
      <w:r w:rsidRPr="0016123E">
        <w:rPr>
          <w:sz w:val="24"/>
          <w:szCs w:val="24"/>
        </w:rPr>
        <w:t>ό</w:t>
      </w:r>
      <w:r w:rsidR="001C30A7">
        <w:rPr>
          <w:sz w:val="24"/>
          <w:szCs w:val="24"/>
        </w:rPr>
        <w:t>,</w:t>
      </w:r>
      <w:r w:rsidRPr="0016123E">
        <w:rPr>
          <w:sz w:val="24"/>
          <w:szCs w:val="24"/>
        </w:rPr>
        <w:t>τι</w:t>
      </w:r>
      <w:proofErr w:type="spellEnd"/>
      <w:r w:rsidRPr="0016123E">
        <w:rPr>
          <w:sz w:val="24"/>
          <w:szCs w:val="24"/>
        </w:rPr>
        <w:t xml:space="preserve"> αφορά τις</w:t>
      </w:r>
      <w:r w:rsidR="00EE3DCA">
        <w:rPr>
          <w:sz w:val="24"/>
          <w:szCs w:val="24"/>
        </w:rPr>
        <w:t xml:space="preserve"> </w:t>
      </w:r>
      <w:r w:rsidRPr="0016123E">
        <w:rPr>
          <w:sz w:val="24"/>
          <w:szCs w:val="24"/>
        </w:rPr>
        <w:t>προβλέψεις</w:t>
      </w:r>
      <w:r w:rsidR="00EE3DCA">
        <w:rPr>
          <w:sz w:val="24"/>
          <w:szCs w:val="24"/>
        </w:rPr>
        <w:t xml:space="preserve"> </w:t>
      </w:r>
      <w:r w:rsidRPr="0016123E">
        <w:rPr>
          <w:sz w:val="24"/>
          <w:szCs w:val="24"/>
        </w:rPr>
        <w:t>των επιχειρήσεων σε σχέση με τη δυνατότητά</w:t>
      </w:r>
      <w:r w:rsidR="00EE3DCA">
        <w:rPr>
          <w:sz w:val="24"/>
          <w:szCs w:val="24"/>
        </w:rPr>
        <w:t xml:space="preserve"> </w:t>
      </w:r>
      <w:r w:rsidRPr="0016123E">
        <w:rPr>
          <w:sz w:val="24"/>
          <w:szCs w:val="24"/>
        </w:rPr>
        <w:t>τους</w:t>
      </w:r>
      <w:r w:rsidR="00EE3DCA">
        <w:rPr>
          <w:sz w:val="24"/>
          <w:szCs w:val="24"/>
        </w:rPr>
        <w:t xml:space="preserve"> </w:t>
      </w:r>
      <w:r w:rsidRPr="0016123E">
        <w:rPr>
          <w:sz w:val="24"/>
          <w:szCs w:val="24"/>
        </w:rPr>
        <w:t>να α</w:t>
      </w:r>
      <w:r w:rsidR="00F17F6B">
        <w:rPr>
          <w:sz w:val="24"/>
          <w:szCs w:val="24"/>
        </w:rPr>
        <w:t>νταποκριθούν στις</w:t>
      </w:r>
      <w:r w:rsidR="00EE3DCA">
        <w:rPr>
          <w:sz w:val="24"/>
          <w:szCs w:val="24"/>
        </w:rPr>
        <w:t xml:space="preserve"> </w:t>
      </w:r>
      <w:r w:rsidR="00F17F6B">
        <w:rPr>
          <w:sz w:val="24"/>
          <w:szCs w:val="24"/>
        </w:rPr>
        <w:t>υποχρεώσεις τους το πρώτο</w:t>
      </w:r>
      <w:r w:rsidRPr="0016123E">
        <w:rPr>
          <w:sz w:val="24"/>
          <w:szCs w:val="24"/>
        </w:rPr>
        <w:t xml:space="preserve"> εξάμηνο</w:t>
      </w:r>
      <w:r w:rsidR="00F17F6B">
        <w:rPr>
          <w:sz w:val="24"/>
          <w:szCs w:val="24"/>
        </w:rPr>
        <w:t xml:space="preserve"> του 2024 προκύπτει ότι:</w:t>
      </w:r>
    </w:p>
    <w:p w14:paraId="3B8613E5" w14:textId="4BD38009" w:rsidR="00F17F6B" w:rsidRDefault="0016123E" w:rsidP="00F17F6B">
      <w:pPr>
        <w:pStyle w:val="a3"/>
        <w:numPr>
          <w:ilvl w:val="0"/>
          <w:numId w:val="18"/>
        </w:numPr>
        <w:spacing w:after="0" w:line="360" w:lineRule="auto"/>
        <w:jc w:val="both"/>
        <w:rPr>
          <w:sz w:val="24"/>
          <w:szCs w:val="24"/>
        </w:rPr>
      </w:pPr>
      <w:r w:rsidRPr="00F17F6B">
        <w:rPr>
          <w:sz w:val="24"/>
          <w:szCs w:val="24"/>
        </w:rPr>
        <w:t xml:space="preserve">το </w:t>
      </w:r>
      <w:r w:rsidR="00D85FA9">
        <w:rPr>
          <w:sz w:val="24"/>
          <w:szCs w:val="24"/>
        </w:rPr>
        <w:t>9,7</w:t>
      </w:r>
      <w:r w:rsidRPr="00F17F6B">
        <w:rPr>
          <w:sz w:val="24"/>
          <w:szCs w:val="24"/>
        </w:rPr>
        <w:t xml:space="preserve">% των επιχειρήσεων </w:t>
      </w:r>
      <w:r w:rsidR="00F17F6B">
        <w:rPr>
          <w:sz w:val="24"/>
          <w:szCs w:val="24"/>
        </w:rPr>
        <w:t>δήλωσε</w:t>
      </w:r>
      <w:r w:rsidRPr="00F17F6B">
        <w:rPr>
          <w:sz w:val="24"/>
          <w:szCs w:val="24"/>
        </w:rPr>
        <w:t xml:space="preserve"> ότι </w:t>
      </w:r>
      <w:r w:rsidR="00F17F6B" w:rsidRPr="00F17F6B">
        <w:rPr>
          <w:sz w:val="24"/>
          <w:szCs w:val="24"/>
        </w:rPr>
        <w:t>δεν θα μπορέσει</w:t>
      </w:r>
      <w:r w:rsidRPr="00F17F6B">
        <w:rPr>
          <w:sz w:val="24"/>
          <w:szCs w:val="24"/>
        </w:rPr>
        <w:t xml:space="preserve"> να ανταποκριθεί </w:t>
      </w:r>
      <w:r w:rsidR="00D85FA9">
        <w:rPr>
          <w:sz w:val="24"/>
          <w:szCs w:val="24"/>
        </w:rPr>
        <w:t>στις υποχρεώσεις του προς τον πρώην ΟΑΕΕ</w:t>
      </w:r>
      <w:r w:rsidR="00FD21B8">
        <w:rPr>
          <w:sz w:val="24"/>
          <w:szCs w:val="24"/>
        </w:rPr>
        <w:t>,</w:t>
      </w:r>
    </w:p>
    <w:p w14:paraId="4F14D982" w14:textId="2079912D" w:rsidR="00D85FA9" w:rsidRDefault="00F17F6B" w:rsidP="0016123E">
      <w:pPr>
        <w:pStyle w:val="a3"/>
        <w:numPr>
          <w:ilvl w:val="0"/>
          <w:numId w:val="18"/>
        </w:numPr>
        <w:spacing w:after="0" w:line="360" w:lineRule="auto"/>
        <w:jc w:val="both"/>
        <w:rPr>
          <w:sz w:val="24"/>
          <w:szCs w:val="24"/>
        </w:rPr>
      </w:pPr>
      <w:r w:rsidRPr="00D85FA9">
        <w:rPr>
          <w:sz w:val="24"/>
          <w:szCs w:val="24"/>
        </w:rPr>
        <w:t>τ</w:t>
      </w:r>
      <w:r w:rsidR="0016123E" w:rsidRPr="00D85FA9">
        <w:rPr>
          <w:sz w:val="24"/>
          <w:szCs w:val="24"/>
        </w:rPr>
        <w:t xml:space="preserve">ο </w:t>
      </w:r>
      <w:r w:rsidR="00D85FA9">
        <w:rPr>
          <w:sz w:val="24"/>
          <w:szCs w:val="24"/>
        </w:rPr>
        <w:t>8,9</w:t>
      </w:r>
      <w:r w:rsidR="0016123E" w:rsidRPr="00D85FA9">
        <w:rPr>
          <w:sz w:val="24"/>
          <w:szCs w:val="24"/>
        </w:rPr>
        <w:t xml:space="preserve">% </w:t>
      </w:r>
      <w:r w:rsidRPr="00D85FA9">
        <w:rPr>
          <w:sz w:val="24"/>
          <w:szCs w:val="24"/>
        </w:rPr>
        <w:t>δεν θα μπορέσει</w:t>
      </w:r>
      <w:r w:rsidR="0016123E" w:rsidRPr="00D85FA9">
        <w:rPr>
          <w:sz w:val="24"/>
          <w:szCs w:val="24"/>
        </w:rPr>
        <w:t xml:space="preserve"> να ανταποκριθεί </w:t>
      </w:r>
      <w:r w:rsidR="00D85FA9">
        <w:rPr>
          <w:sz w:val="24"/>
          <w:szCs w:val="24"/>
        </w:rPr>
        <w:t>στις φορολογικές του υποχρεώσεις</w:t>
      </w:r>
      <w:r w:rsidR="00612E62">
        <w:rPr>
          <w:sz w:val="24"/>
          <w:szCs w:val="24"/>
        </w:rPr>
        <w:t>,</w:t>
      </w:r>
      <w:r w:rsidR="0016123E" w:rsidRPr="00D85FA9">
        <w:rPr>
          <w:sz w:val="24"/>
          <w:szCs w:val="24"/>
        </w:rPr>
        <w:t xml:space="preserve"> </w:t>
      </w:r>
    </w:p>
    <w:p w14:paraId="4A52D900" w14:textId="45842B7F" w:rsidR="00D85FA9" w:rsidRDefault="00D85FA9" w:rsidP="00D85FA9">
      <w:pPr>
        <w:pStyle w:val="a3"/>
        <w:numPr>
          <w:ilvl w:val="0"/>
          <w:numId w:val="18"/>
        </w:numPr>
        <w:spacing w:after="0" w:line="360" w:lineRule="auto"/>
        <w:jc w:val="both"/>
        <w:rPr>
          <w:sz w:val="24"/>
          <w:szCs w:val="24"/>
        </w:rPr>
      </w:pPr>
      <w:r>
        <w:rPr>
          <w:sz w:val="24"/>
          <w:szCs w:val="24"/>
        </w:rPr>
        <w:t xml:space="preserve">το </w:t>
      </w:r>
      <w:r w:rsidR="0016123E" w:rsidRPr="00D85FA9">
        <w:rPr>
          <w:sz w:val="24"/>
          <w:szCs w:val="24"/>
        </w:rPr>
        <w:t xml:space="preserve">7,5% </w:t>
      </w:r>
      <w:r w:rsidRPr="00D85FA9">
        <w:rPr>
          <w:sz w:val="24"/>
          <w:szCs w:val="24"/>
        </w:rPr>
        <w:t xml:space="preserve">δεν θα μπορέσει να ανταποκριθεί στις υποχρεώσεις </w:t>
      </w:r>
      <w:r>
        <w:rPr>
          <w:sz w:val="24"/>
          <w:szCs w:val="24"/>
        </w:rPr>
        <w:t>για λογαριασμούς ενέργειας</w:t>
      </w:r>
      <w:r w:rsidR="00612E62">
        <w:rPr>
          <w:sz w:val="24"/>
          <w:szCs w:val="24"/>
        </w:rPr>
        <w:t>,</w:t>
      </w:r>
    </w:p>
    <w:p w14:paraId="0322D897" w14:textId="6CC07EDD" w:rsidR="00D85FA9" w:rsidRDefault="00D85FA9" w:rsidP="00D85FA9">
      <w:pPr>
        <w:pStyle w:val="a3"/>
        <w:numPr>
          <w:ilvl w:val="0"/>
          <w:numId w:val="18"/>
        </w:numPr>
        <w:spacing w:after="0" w:line="360" w:lineRule="auto"/>
        <w:jc w:val="both"/>
        <w:rPr>
          <w:sz w:val="24"/>
          <w:szCs w:val="24"/>
        </w:rPr>
      </w:pPr>
      <w:r>
        <w:rPr>
          <w:sz w:val="24"/>
          <w:szCs w:val="24"/>
        </w:rPr>
        <w:t>το 6,1% δεν θα μπορέσει να ανταποκριθεί στις υποχρεώσεις ενοικίου</w:t>
      </w:r>
      <w:r w:rsidR="00612E62">
        <w:rPr>
          <w:sz w:val="24"/>
          <w:szCs w:val="24"/>
        </w:rPr>
        <w:t>,</w:t>
      </w:r>
    </w:p>
    <w:p w14:paraId="00B3FD2E" w14:textId="2FCFD428" w:rsidR="00D85FA9" w:rsidRDefault="00D85FA9" w:rsidP="00D85FA9">
      <w:pPr>
        <w:pStyle w:val="a3"/>
        <w:numPr>
          <w:ilvl w:val="0"/>
          <w:numId w:val="18"/>
        </w:numPr>
        <w:spacing w:after="0" w:line="360" w:lineRule="auto"/>
        <w:jc w:val="both"/>
        <w:rPr>
          <w:sz w:val="24"/>
          <w:szCs w:val="24"/>
        </w:rPr>
      </w:pPr>
      <w:r>
        <w:rPr>
          <w:sz w:val="24"/>
          <w:szCs w:val="24"/>
        </w:rPr>
        <w:t>το 5,9% δεν θα μπορέσει να ανταποκριθεί στις υποχρεώσεις προς προμηθευτές</w:t>
      </w:r>
      <w:r w:rsidR="00612E62">
        <w:rPr>
          <w:sz w:val="24"/>
          <w:szCs w:val="24"/>
        </w:rPr>
        <w:t>,</w:t>
      </w:r>
    </w:p>
    <w:p w14:paraId="01BE4750" w14:textId="530ABD59" w:rsidR="00D85FA9" w:rsidRDefault="00D85FA9" w:rsidP="00D85FA9">
      <w:pPr>
        <w:pStyle w:val="a3"/>
        <w:numPr>
          <w:ilvl w:val="0"/>
          <w:numId w:val="18"/>
        </w:numPr>
        <w:spacing w:after="0" w:line="360" w:lineRule="auto"/>
        <w:jc w:val="both"/>
        <w:rPr>
          <w:sz w:val="24"/>
          <w:szCs w:val="24"/>
        </w:rPr>
      </w:pPr>
      <w:r>
        <w:rPr>
          <w:sz w:val="24"/>
          <w:szCs w:val="24"/>
        </w:rPr>
        <w:t>το 4,6% δεν θα μπορέσει να ανταποκριθεί στις υποχρεώσεις για λοιπούς λογαριασμούς</w:t>
      </w:r>
      <w:r w:rsidR="00612E62">
        <w:rPr>
          <w:sz w:val="24"/>
          <w:szCs w:val="24"/>
        </w:rPr>
        <w:t>,</w:t>
      </w:r>
    </w:p>
    <w:p w14:paraId="3B7ED977" w14:textId="5E0EEFB9" w:rsidR="00D85FA9" w:rsidRDefault="00D85FA9" w:rsidP="00D85FA9">
      <w:pPr>
        <w:pStyle w:val="a3"/>
        <w:numPr>
          <w:ilvl w:val="0"/>
          <w:numId w:val="18"/>
        </w:numPr>
        <w:spacing w:after="0" w:line="360" w:lineRule="auto"/>
        <w:jc w:val="both"/>
        <w:rPr>
          <w:sz w:val="24"/>
          <w:szCs w:val="24"/>
        </w:rPr>
      </w:pPr>
      <w:r>
        <w:rPr>
          <w:sz w:val="24"/>
          <w:szCs w:val="24"/>
        </w:rPr>
        <w:t>το 4,2% δεν θα μπορέσει να ανταποκριθεί στις τραπεζικές του υποχρεώσεις</w:t>
      </w:r>
      <w:r w:rsidR="00612E62">
        <w:rPr>
          <w:sz w:val="24"/>
          <w:szCs w:val="24"/>
        </w:rPr>
        <w:t>,</w:t>
      </w:r>
    </w:p>
    <w:p w14:paraId="5681A618" w14:textId="4AD6BC80" w:rsidR="00D85FA9" w:rsidRDefault="00D85FA9" w:rsidP="00D85FA9">
      <w:pPr>
        <w:pStyle w:val="a3"/>
        <w:numPr>
          <w:ilvl w:val="0"/>
          <w:numId w:val="18"/>
        </w:numPr>
        <w:spacing w:after="0" w:line="360" w:lineRule="auto"/>
        <w:jc w:val="both"/>
        <w:rPr>
          <w:sz w:val="24"/>
          <w:szCs w:val="24"/>
        </w:rPr>
      </w:pPr>
      <w:r>
        <w:rPr>
          <w:sz w:val="24"/>
          <w:szCs w:val="24"/>
        </w:rPr>
        <w:t xml:space="preserve">το 3,5% δεν θα μπορέσει να ανταποκριθεί στις υποχρεώσεις του προς το πρώην ΙΚΑ. </w:t>
      </w:r>
    </w:p>
    <w:p w14:paraId="0BF291B6" w14:textId="77777777" w:rsidR="00033B51" w:rsidRDefault="00D85FA9" w:rsidP="00FD21B8">
      <w:pPr>
        <w:spacing w:after="0" w:line="240" w:lineRule="auto"/>
        <w:jc w:val="both"/>
        <w:rPr>
          <w:rFonts w:eastAsia="Times New Roman" w:cstheme="minorHAnsi"/>
          <w:sz w:val="20"/>
          <w:szCs w:val="20"/>
        </w:rPr>
      </w:pPr>
      <w:r>
        <w:rPr>
          <w:noProof/>
        </w:rPr>
        <w:drawing>
          <wp:inline distT="0" distB="0" distL="0" distR="0" wp14:anchorId="039A0BFF" wp14:editId="5BD87B2D">
            <wp:extent cx="6504167" cy="2743200"/>
            <wp:effectExtent l="0" t="0" r="11430" b="1905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E999F8" w14:textId="73CCAD55" w:rsidR="00FD21B8" w:rsidRDefault="00FD21B8" w:rsidP="00FD21B8">
      <w:pPr>
        <w:spacing w:after="0" w:line="240" w:lineRule="auto"/>
        <w:jc w:val="both"/>
        <w:rPr>
          <w:rFonts w:eastAsia="Times New Roman" w:cstheme="minorHAnsi"/>
          <w:sz w:val="20"/>
          <w:szCs w:val="20"/>
        </w:rPr>
      </w:pPr>
      <w:r w:rsidRPr="00F17F6B">
        <w:rPr>
          <w:rFonts w:eastAsia="Times New Roman" w:cstheme="minorHAnsi"/>
          <w:sz w:val="20"/>
          <w:szCs w:val="20"/>
        </w:rPr>
        <w:t>* Στο σύνολο των επιχειρήσεων</w:t>
      </w:r>
    </w:p>
    <w:p w14:paraId="454BE73B" w14:textId="77777777" w:rsidR="00033B51" w:rsidRPr="00033B51" w:rsidRDefault="00033B51" w:rsidP="00033B51">
      <w:pPr>
        <w:spacing w:after="0" w:line="360" w:lineRule="auto"/>
        <w:ind w:left="720"/>
        <w:contextualSpacing/>
        <w:jc w:val="both"/>
        <w:rPr>
          <w:rFonts w:eastAsia="Times New Roman" w:cstheme="minorHAnsi"/>
          <w:sz w:val="24"/>
          <w:szCs w:val="24"/>
          <w:u w:val="single"/>
        </w:rPr>
      </w:pPr>
    </w:p>
    <w:p w14:paraId="4EB906FA" w14:textId="77777777" w:rsidR="00D268F0" w:rsidRPr="00843886" w:rsidRDefault="00D268F0" w:rsidP="00700BFC">
      <w:pPr>
        <w:numPr>
          <w:ilvl w:val="0"/>
          <w:numId w:val="5"/>
        </w:numPr>
        <w:spacing w:after="0" w:line="360" w:lineRule="auto"/>
        <w:contextualSpacing/>
        <w:jc w:val="both"/>
        <w:rPr>
          <w:rFonts w:eastAsia="Times New Roman" w:cstheme="minorHAnsi"/>
          <w:sz w:val="24"/>
          <w:szCs w:val="24"/>
          <w:u w:val="single"/>
        </w:rPr>
      </w:pPr>
      <w:r w:rsidRPr="00843886">
        <w:rPr>
          <w:rFonts w:eastAsia="Times New Roman" w:cstheme="minorHAnsi"/>
          <w:b/>
          <w:bCs/>
          <w:sz w:val="24"/>
          <w:szCs w:val="24"/>
          <w:u w:val="single"/>
        </w:rPr>
        <w:t xml:space="preserve">Δείκτες αβεβαιότητας και βιωσιμότητας </w:t>
      </w:r>
    </w:p>
    <w:p w14:paraId="2B4D7871" w14:textId="5B750269" w:rsidR="004E366C" w:rsidRPr="00660191" w:rsidRDefault="00612E62" w:rsidP="00700BFC">
      <w:pPr>
        <w:spacing w:after="0" w:line="360" w:lineRule="auto"/>
        <w:jc w:val="both"/>
        <w:rPr>
          <w:rFonts w:eastAsia="Times New Roman" w:cstheme="minorHAnsi"/>
          <w:sz w:val="24"/>
          <w:szCs w:val="24"/>
        </w:rPr>
      </w:pPr>
      <w:r w:rsidRPr="00660191">
        <w:rPr>
          <w:rFonts w:eastAsia="Times New Roman" w:cstheme="minorHAnsi"/>
          <w:sz w:val="24"/>
          <w:szCs w:val="24"/>
        </w:rPr>
        <w:t>Περισσότερο απαισιόδοξες είναι οι μικρές και πολύ μικρές επιχειρήσεις σχετικά με τη μελλοντική τους βιωσιμότητα</w:t>
      </w:r>
      <w:r w:rsidR="00AD1647">
        <w:rPr>
          <w:rFonts w:eastAsia="Times New Roman" w:cstheme="minorHAnsi"/>
          <w:sz w:val="24"/>
          <w:szCs w:val="24"/>
        </w:rPr>
        <w:t>,</w:t>
      </w:r>
      <w:r w:rsidRPr="00660191">
        <w:rPr>
          <w:rFonts w:eastAsia="Times New Roman" w:cstheme="minorHAnsi"/>
          <w:sz w:val="24"/>
          <w:szCs w:val="24"/>
        </w:rPr>
        <w:t xml:space="preserve"> καθώς ο δείκτης αβεβαιότητας</w:t>
      </w:r>
      <w:r w:rsidRPr="00660191">
        <w:rPr>
          <w:rFonts w:eastAsia="Times New Roman" w:cstheme="minorHAnsi"/>
          <w:sz w:val="24"/>
          <w:szCs w:val="24"/>
          <w:vertAlign w:val="superscript"/>
        </w:rPr>
        <w:footnoteReference w:id="3"/>
      </w:r>
      <w:r w:rsidRPr="00660191">
        <w:rPr>
          <w:rFonts w:eastAsia="Times New Roman" w:cstheme="minorHAnsi"/>
          <w:sz w:val="24"/>
          <w:szCs w:val="24"/>
        </w:rPr>
        <w:t xml:space="preserve"> ανήλθε στις</w:t>
      </w:r>
      <w:r w:rsidR="00660191">
        <w:rPr>
          <w:rFonts w:eastAsia="Times New Roman" w:cstheme="minorHAnsi"/>
          <w:sz w:val="24"/>
          <w:szCs w:val="24"/>
        </w:rPr>
        <w:t xml:space="preserve"> 35,7 μονάδες καταγράφοντας </w:t>
      </w:r>
      <w:r w:rsidRPr="00660191">
        <w:rPr>
          <w:rFonts w:eastAsia="Times New Roman" w:cstheme="minorHAnsi"/>
          <w:sz w:val="24"/>
          <w:szCs w:val="24"/>
        </w:rPr>
        <w:t>αύξηση 4,8 μονάδων σε σχέση με το προηγούμενο εξάμηνο.</w:t>
      </w:r>
      <w:r w:rsidR="00EE3DCA">
        <w:rPr>
          <w:rFonts w:eastAsia="Times New Roman" w:cstheme="minorHAnsi"/>
          <w:sz w:val="24"/>
          <w:szCs w:val="24"/>
        </w:rPr>
        <w:t xml:space="preserve"> </w:t>
      </w:r>
      <w:r w:rsidR="00660191">
        <w:rPr>
          <w:rFonts w:eastAsia="Times New Roman" w:cstheme="minorHAnsi"/>
          <w:sz w:val="24"/>
          <w:szCs w:val="24"/>
        </w:rPr>
        <w:t xml:space="preserve">Ειδικότερα, το 16,6% των επιχειρήσεων δήλωσε ότι είναι πολύ πιθανό να διακόψει τη λειτουργία του το επόμενο διάστημα, ενώ το 19,1% των επιχειρήσεων </w:t>
      </w:r>
      <w:r w:rsidR="00660191" w:rsidRPr="00660191">
        <w:rPr>
          <w:rFonts w:eastAsia="Times New Roman" w:cstheme="minorHAnsi"/>
          <w:sz w:val="24"/>
          <w:szCs w:val="24"/>
        </w:rPr>
        <w:t xml:space="preserve">δήλωσε ότι είναι </w:t>
      </w:r>
      <w:r w:rsidR="00660191">
        <w:rPr>
          <w:rFonts w:eastAsia="Times New Roman" w:cstheme="minorHAnsi"/>
          <w:sz w:val="24"/>
          <w:szCs w:val="24"/>
        </w:rPr>
        <w:t>αρκετά</w:t>
      </w:r>
      <w:r w:rsidR="00660191" w:rsidRPr="00660191">
        <w:rPr>
          <w:rFonts w:eastAsia="Times New Roman" w:cstheme="minorHAnsi"/>
          <w:sz w:val="24"/>
          <w:szCs w:val="24"/>
        </w:rPr>
        <w:t xml:space="preserve"> πιθανό να διακόψει τη λειτουργία του το επόμενο διάστημα</w:t>
      </w:r>
      <w:r w:rsidR="00660191">
        <w:rPr>
          <w:rFonts w:eastAsia="Times New Roman" w:cstheme="minorHAnsi"/>
          <w:sz w:val="24"/>
          <w:szCs w:val="24"/>
        </w:rPr>
        <w:t>.</w:t>
      </w:r>
    </w:p>
    <w:p w14:paraId="2528AD1F" w14:textId="2A8082CA" w:rsidR="001E5692" w:rsidRPr="00660191" w:rsidRDefault="00612E62" w:rsidP="00700BFC">
      <w:pPr>
        <w:spacing w:after="0" w:line="360" w:lineRule="auto"/>
        <w:jc w:val="both"/>
        <w:rPr>
          <w:rFonts w:eastAsia="Times New Roman" w:cstheme="minorHAnsi"/>
          <w:sz w:val="24"/>
          <w:szCs w:val="24"/>
        </w:rPr>
      </w:pPr>
      <w:r w:rsidRPr="00660191">
        <w:rPr>
          <w:rFonts w:eastAsia="Times New Roman" w:cstheme="minorHAnsi"/>
          <w:sz w:val="24"/>
          <w:szCs w:val="24"/>
        </w:rPr>
        <w:lastRenderedPageBreak/>
        <w:t>Αντ</w:t>
      </w:r>
      <w:r w:rsidR="00AD1647">
        <w:rPr>
          <w:rFonts w:eastAsia="Times New Roman" w:cstheme="minorHAnsi"/>
          <w:sz w:val="24"/>
          <w:szCs w:val="24"/>
        </w:rPr>
        <w:t>ί</w:t>
      </w:r>
      <w:r w:rsidRPr="00660191">
        <w:rPr>
          <w:rFonts w:eastAsia="Times New Roman" w:cstheme="minorHAnsi"/>
          <w:sz w:val="24"/>
          <w:szCs w:val="24"/>
        </w:rPr>
        <w:t>στροφ</w:t>
      </w:r>
      <w:r w:rsidR="00AD1647">
        <w:rPr>
          <w:rFonts w:eastAsia="Times New Roman" w:cstheme="minorHAnsi"/>
          <w:sz w:val="24"/>
          <w:szCs w:val="24"/>
        </w:rPr>
        <w:t>η</w:t>
      </w:r>
      <w:r w:rsidRPr="00660191">
        <w:rPr>
          <w:rFonts w:eastAsia="Times New Roman" w:cstheme="minorHAnsi"/>
          <w:sz w:val="24"/>
          <w:szCs w:val="24"/>
        </w:rPr>
        <w:t xml:space="preserve">, ωστόσο, </w:t>
      </w:r>
      <w:r w:rsidR="00843886" w:rsidRPr="00660191">
        <w:rPr>
          <w:rFonts w:eastAsia="Times New Roman" w:cstheme="minorHAnsi"/>
          <w:sz w:val="24"/>
          <w:szCs w:val="24"/>
        </w:rPr>
        <w:t>είναι η εικόνα ως προς</w:t>
      </w:r>
      <w:r w:rsidR="001E5692" w:rsidRPr="00660191">
        <w:rPr>
          <w:rFonts w:eastAsia="Times New Roman" w:cstheme="minorHAnsi"/>
          <w:sz w:val="24"/>
          <w:szCs w:val="24"/>
        </w:rPr>
        <w:t xml:space="preserve"> </w:t>
      </w:r>
      <w:r w:rsidR="00843886" w:rsidRPr="00660191">
        <w:rPr>
          <w:rFonts w:eastAsia="Times New Roman" w:cstheme="minorHAnsi"/>
          <w:sz w:val="24"/>
          <w:szCs w:val="24"/>
        </w:rPr>
        <w:t>τ</w:t>
      </w:r>
      <w:r w:rsidR="001E5692" w:rsidRPr="00660191">
        <w:rPr>
          <w:rFonts w:eastAsia="Times New Roman" w:cstheme="minorHAnsi"/>
          <w:sz w:val="24"/>
          <w:szCs w:val="24"/>
        </w:rPr>
        <w:t>ο</w:t>
      </w:r>
      <w:r w:rsidR="00843886" w:rsidRPr="00660191">
        <w:rPr>
          <w:rFonts w:eastAsia="Times New Roman" w:cstheme="minorHAnsi"/>
          <w:sz w:val="24"/>
          <w:szCs w:val="24"/>
        </w:rPr>
        <w:t>ν δείκτη</w:t>
      </w:r>
      <w:r w:rsidR="001E5692" w:rsidRPr="00660191">
        <w:rPr>
          <w:rFonts w:eastAsia="Times New Roman" w:cstheme="minorHAnsi"/>
          <w:sz w:val="24"/>
          <w:szCs w:val="24"/>
        </w:rPr>
        <w:t xml:space="preserve"> βιωσιμότητας</w:t>
      </w:r>
      <w:r w:rsidR="00AD1647">
        <w:rPr>
          <w:rFonts w:eastAsia="Times New Roman" w:cstheme="minorHAnsi"/>
          <w:sz w:val="24"/>
          <w:szCs w:val="24"/>
        </w:rPr>
        <w:t>,</w:t>
      </w:r>
      <w:r w:rsidR="001E5692" w:rsidRPr="00660191">
        <w:rPr>
          <w:rFonts w:eastAsia="Times New Roman" w:cstheme="minorHAnsi"/>
          <w:sz w:val="24"/>
          <w:szCs w:val="24"/>
        </w:rPr>
        <w:t xml:space="preserve"> καθώς </w:t>
      </w:r>
      <w:r w:rsidR="00660191">
        <w:rPr>
          <w:rFonts w:eastAsia="Times New Roman" w:cstheme="minorHAnsi"/>
          <w:sz w:val="24"/>
          <w:szCs w:val="24"/>
        </w:rPr>
        <w:t xml:space="preserve">μόλις το </w:t>
      </w:r>
      <w:r w:rsidR="00660191" w:rsidRPr="00660191">
        <w:rPr>
          <w:rFonts w:eastAsia="Times New Roman" w:cstheme="minorHAnsi"/>
          <w:sz w:val="24"/>
          <w:szCs w:val="24"/>
        </w:rPr>
        <w:t>2,2</w:t>
      </w:r>
      <w:r w:rsidR="007E0B5C" w:rsidRPr="00660191">
        <w:rPr>
          <w:rFonts w:eastAsia="Times New Roman" w:cstheme="minorHAnsi"/>
          <w:sz w:val="24"/>
          <w:szCs w:val="24"/>
        </w:rPr>
        <w:t xml:space="preserve">% των επιχειρήσεων </w:t>
      </w:r>
      <w:r w:rsidR="00843886" w:rsidRPr="00660191">
        <w:rPr>
          <w:rFonts w:eastAsia="Times New Roman" w:cstheme="minorHAnsi"/>
          <w:sz w:val="24"/>
          <w:szCs w:val="24"/>
        </w:rPr>
        <w:t>εκφράζει το φόβο για διακοπή της δραστηριότητ</w:t>
      </w:r>
      <w:r w:rsidR="00AD1647">
        <w:rPr>
          <w:rFonts w:eastAsia="Times New Roman" w:cstheme="minorHAnsi"/>
          <w:sz w:val="24"/>
          <w:szCs w:val="24"/>
        </w:rPr>
        <w:t>ά</w:t>
      </w:r>
      <w:r w:rsidR="00843886" w:rsidRPr="00660191">
        <w:rPr>
          <w:rFonts w:eastAsia="Times New Roman" w:cstheme="minorHAnsi"/>
          <w:sz w:val="24"/>
          <w:szCs w:val="24"/>
        </w:rPr>
        <w:t xml:space="preserve">ς του το </w:t>
      </w:r>
      <w:r w:rsidR="00382337" w:rsidRPr="00660191">
        <w:rPr>
          <w:rFonts w:eastAsia="Times New Roman" w:cstheme="minorHAnsi"/>
          <w:sz w:val="24"/>
          <w:szCs w:val="24"/>
        </w:rPr>
        <w:t>αμέσως</w:t>
      </w:r>
      <w:r w:rsidR="00843886" w:rsidRPr="00660191">
        <w:rPr>
          <w:rFonts w:eastAsia="Times New Roman" w:cstheme="minorHAnsi"/>
          <w:sz w:val="24"/>
          <w:szCs w:val="24"/>
        </w:rPr>
        <w:t xml:space="preserve"> επόμενο χρονικό διάστημα</w:t>
      </w:r>
      <w:r w:rsidR="00646CC1" w:rsidRPr="00660191">
        <w:rPr>
          <w:rFonts w:eastAsia="Times New Roman" w:cstheme="minorHAnsi"/>
          <w:sz w:val="24"/>
          <w:szCs w:val="24"/>
        </w:rPr>
        <w:t>,</w:t>
      </w:r>
      <w:r w:rsidR="00843886" w:rsidRPr="00660191">
        <w:rPr>
          <w:rFonts w:eastAsia="Times New Roman" w:cstheme="minorHAnsi"/>
          <w:sz w:val="24"/>
          <w:szCs w:val="24"/>
        </w:rPr>
        <w:t xml:space="preserve"> έναντι </w:t>
      </w:r>
      <w:r w:rsidR="00660191" w:rsidRPr="00660191">
        <w:rPr>
          <w:rFonts w:eastAsia="Times New Roman" w:cstheme="minorHAnsi"/>
          <w:sz w:val="24"/>
          <w:szCs w:val="24"/>
        </w:rPr>
        <w:t>4,7</w:t>
      </w:r>
      <w:r w:rsidR="00843886" w:rsidRPr="00660191">
        <w:rPr>
          <w:rFonts w:eastAsia="Times New Roman" w:cstheme="minorHAnsi"/>
          <w:sz w:val="24"/>
          <w:szCs w:val="24"/>
        </w:rPr>
        <w:t xml:space="preserve">% που ήταν τον </w:t>
      </w:r>
      <w:r w:rsidR="00660191" w:rsidRPr="00660191">
        <w:rPr>
          <w:rFonts w:eastAsia="Times New Roman" w:cstheme="minorHAnsi"/>
          <w:sz w:val="24"/>
          <w:szCs w:val="24"/>
        </w:rPr>
        <w:t>Ιούλιο</w:t>
      </w:r>
      <w:r w:rsidR="00843886" w:rsidRPr="00660191">
        <w:rPr>
          <w:rFonts w:eastAsia="Times New Roman" w:cstheme="minorHAnsi"/>
          <w:sz w:val="24"/>
          <w:szCs w:val="24"/>
        </w:rPr>
        <w:t xml:space="preserve"> του 2023</w:t>
      </w:r>
      <w:r w:rsidR="007E0B5C" w:rsidRPr="00660191">
        <w:rPr>
          <w:rFonts w:eastAsia="Times New Roman" w:cstheme="minorHAnsi"/>
          <w:sz w:val="24"/>
          <w:szCs w:val="24"/>
        </w:rPr>
        <w:t>.</w:t>
      </w:r>
      <w:r w:rsidR="00843886" w:rsidRPr="00660191">
        <w:rPr>
          <w:rFonts w:eastAsia="Times New Roman" w:cstheme="minorHAnsi"/>
          <w:sz w:val="24"/>
          <w:szCs w:val="24"/>
        </w:rPr>
        <w:t xml:space="preserve"> </w:t>
      </w:r>
    </w:p>
    <w:p w14:paraId="6B9CB547" w14:textId="18B065A1" w:rsidR="007E0B5C" w:rsidRPr="00843886" w:rsidRDefault="007E0B5C" w:rsidP="00700BFC">
      <w:pPr>
        <w:spacing w:after="0" w:line="360" w:lineRule="auto"/>
        <w:jc w:val="both"/>
        <w:rPr>
          <w:rFonts w:eastAsia="Times New Roman" w:cstheme="minorHAnsi"/>
          <w:sz w:val="24"/>
          <w:szCs w:val="24"/>
        </w:rPr>
      </w:pPr>
      <w:r w:rsidRPr="00A71472">
        <w:rPr>
          <w:rFonts w:eastAsia="Times New Roman" w:cstheme="minorHAnsi"/>
          <w:sz w:val="24"/>
          <w:szCs w:val="24"/>
        </w:rPr>
        <w:t>Τέλος</w:t>
      </w:r>
      <w:r w:rsidR="00646CC1" w:rsidRPr="00A71472">
        <w:rPr>
          <w:rFonts w:eastAsia="Times New Roman" w:cstheme="minorHAnsi"/>
          <w:sz w:val="24"/>
          <w:szCs w:val="24"/>
        </w:rPr>
        <w:t>,</w:t>
      </w:r>
      <w:r w:rsidRPr="00A71472">
        <w:rPr>
          <w:rFonts w:eastAsia="Times New Roman" w:cstheme="minorHAnsi"/>
          <w:sz w:val="24"/>
          <w:szCs w:val="24"/>
        </w:rPr>
        <w:t xml:space="preserve"> οι επιχειρήσεις που κυρίως αντιμετωπίζουν σοβαρές δυσκολίες</w:t>
      </w:r>
      <w:r w:rsidR="00A71472" w:rsidRPr="00A71472">
        <w:rPr>
          <w:rFonts w:eastAsia="Times New Roman" w:cstheme="minorHAnsi"/>
          <w:sz w:val="24"/>
          <w:szCs w:val="24"/>
        </w:rPr>
        <w:t xml:space="preserve"> και κινδυνεύουν άμεσα με λουκέτο</w:t>
      </w:r>
      <w:r w:rsidRPr="00A71472">
        <w:rPr>
          <w:rFonts w:eastAsia="Times New Roman" w:cstheme="minorHAnsi"/>
          <w:sz w:val="24"/>
          <w:szCs w:val="24"/>
        </w:rPr>
        <w:t xml:space="preserve"> είναι οι </w:t>
      </w:r>
      <w:r w:rsidR="00646CC1" w:rsidRPr="00A71472">
        <w:rPr>
          <w:rFonts w:eastAsia="Times New Roman" w:cstheme="minorHAnsi"/>
          <w:sz w:val="24"/>
          <w:szCs w:val="24"/>
        </w:rPr>
        <w:t>επιχειρήσεις με καθυστερημένες υποχρεώσεις</w:t>
      </w:r>
      <w:r w:rsidR="00660191" w:rsidRPr="00A71472">
        <w:rPr>
          <w:rFonts w:eastAsia="Times New Roman" w:cstheme="minorHAnsi"/>
          <w:sz w:val="24"/>
          <w:szCs w:val="24"/>
        </w:rPr>
        <w:t>, ιδίως εκείνες που είναι υπερχρεωμένες προς το Δημόσιο,</w:t>
      </w:r>
      <w:r w:rsidR="00646CC1" w:rsidRPr="00A71472">
        <w:rPr>
          <w:rFonts w:eastAsia="Times New Roman" w:cstheme="minorHAnsi"/>
          <w:sz w:val="24"/>
          <w:szCs w:val="24"/>
        </w:rPr>
        <w:t xml:space="preserve"> οι </w:t>
      </w:r>
      <w:r w:rsidR="00A71472" w:rsidRPr="00A71472">
        <w:rPr>
          <w:rFonts w:eastAsia="Times New Roman" w:cstheme="minorHAnsi"/>
          <w:sz w:val="24"/>
          <w:szCs w:val="24"/>
        </w:rPr>
        <w:t>επιχειρήσεις χωρίς προσωπικό</w:t>
      </w:r>
      <w:r w:rsidR="00EE3DCA">
        <w:rPr>
          <w:rFonts w:eastAsia="Times New Roman" w:cstheme="minorHAnsi"/>
          <w:sz w:val="24"/>
          <w:szCs w:val="24"/>
        </w:rPr>
        <w:t xml:space="preserve"> </w:t>
      </w:r>
      <w:r w:rsidR="00A71472" w:rsidRPr="00A71472">
        <w:rPr>
          <w:rFonts w:eastAsia="Times New Roman" w:cstheme="minorHAnsi"/>
          <w:sz w:val="24"/>
          <w:szCs w:val="24"/>
        </w:rPr>
        <w:t>και οι επιχειρήσεις με κύκλο εργασιών έως 50.000 €</w:t>
      </w:r>
      <w:r w:rsidR="00646CC1" w:rsidRPr="00A71472">
        <w:rPr>
          <w:rFonts w:eastAsia="Times New Roman" w:cstheme="minorHAnsi"/>
          <w:sz w:val="24"/>
          <w:szCs w:val="24"/>
        </w:rPr>
        <w:t>.</w:t>
      </w:r>
      <w:r w:rsidR="00F7091F">
        <w:rPr>
          <w:rFonts w:eastAsia="Times New Roman" w:cstheme="minorHAnsi"/>
          <w:sz w:val="24"/>
          <w:szCs w:val="24"/>
        </w:rPr>
        <w:t xml:space="preserve"> </w:t>
      </w:r>
    </w:p>
    <w:p w14:paraId="7931BC11" w14:textId="77777777" w:rsidR="00D268F0" w:rsidRPr="006043B9" w:rsidRDefault="00D268F0" w:rsidP="00700BFC">
      <w:pPr>
        <w:spacing w:after="0" w:line="360" w:lineRule="auto"/>
        <w:jc w:val="both"/>
        <w:rPr>
          <w:rFonts w:eastAsia="Times New Roman" w:cstheme="minorHAnsi"/>
          <w:sz w:val="24"/>
          <w:szCs w:val="24"/>
          <w:highlight w:val="yellow"/>
        </w:rPr>
      </w:pPr>
    </w:p>
    <w:p w14:paraId="0408E20C" w14:textId="70881F5B" w:rsidR="00D268F0" w:rsidRDefault="00612E62" w:rsidP="00700BFC">
      <w:pPr>
        <w:spacing w:after="0" w:line="360" w:lineRule="auto"/>
        <w:jc w:val="both"/>
        <w:rPr>
          <w:b/>
          <w:sz w:val="24"/>
          <w:szCs w:val="24"/>
          <w:u w:val="single"/>
        </w:rPr>
      </w:pPr>
      <w:r>
        <w:rPr>
          <w:noProof/>
        </w:rPr>
        <w:drawing>
          <wp:inline distT="0" distB="0" distL="0" distR="0" wp14:anchorId="3127E60A" wp14:editId="4C636665">
            <wp:extent cx="6575728" cy="2862469"/>
            <wp:effectExtent l="0" t="0" r="15875" b="14605"/>
            <wp:docPr id="12" name="Γράφημα 12">
              <a:extLst xmlns:a="http://schemas.openxmlformats.org/drawingml/2006/main">
                <a:ext uri="{FF2B5EF4-FFF2-40B4-BE49-F238E27FC236}">
                  <a16:creationId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id="{72BD3871-217D-7A81-BFDD-C404C56C4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D4A23A" w14:textId="77777777" w:rsidR="007A3A82" w:rsidRDefault="007A3A82" w:rsidP="00700BFC">
      <w:pPr>
        <w:spacing w:after="0" w:line="360" w:lineRule="auto"/>
        <w:jc w:val="both"/>
        <w:rPr>
          <w:b/>
          <w:sz w:val="24"/>
          <w:szCs w:val="24"/>
          <w:u w:val="single"/>
        </w:rPr>
      </w:pPr>
    </w:p>
    <w:p w14:paraId="6F6069ED" w14:textId="423793CD" w:rsidR="007A3A82" w:rsidRPr="00A71472" w:rsidRDefault="00A71472" w:rsidP="00A71472">
      <w:pPr>
        <w:pStyle w:val="a3"/>
        <w:numPr>
          <w:ilvl w:val="0"/>
          <w:numId w:val="5"/>
        </w:numPr>
        <w:spacing w:after="0" w:line="360" w:lineRule="auto"/>
        <w:jc w:val="both"/>
        <w:rPr>
          <w:b/>
          <w:sz w:val="24"/>
          <w:szCs w:val="24"/>
          <w:u w:val="single"/>
        </w:rPr>
      </w:pPr>
      <w:r w:rsidRPr="00A71472">
        <w:rPr>
          <w:b/>
          <w:sz w:val="24"/>
          <w:szCs w:val="24"/>
          <w:u w:val="single"/>
        </w:rPr>
        <w:t xml:space="preserve">Ερωτήσεις </w:t>
      </w:r>
      <w:r w:rsidR="0019755E">
        <w:rPr>
          <w:b/>
          <w:sz w:val="24"/>
          <w:szCs w:val="24"/>
          <w:u w:val="single"/>
        </w:rPr>
        <w:t xml:space="preserve">για τη </w:t>
      </w:r>
      <w:r w:rsidRPr="00A71472">
        <w:rPr>
          <w:b/>
          <w:sz w:val="24"/>
          <w:szCs w:val="24"/>
          <w:u w:val="single"/>
        </w:rPr>
        <w:t>συγκυρία</w:t>
      </w:r>
    </w:p>
    <w:p w14:paraId="60CCA7A6" w14:textId="68EDD069" w:rsidR="00B36044" w:rsidRDefault="00336DCC" w:rsidP="00700BFC">
      <w:pPr>
        <w:spacing w:after="0" w:line="360" w:lineRule="auto"/>
        <w:jc w:val="both"/>
        <w:rPr>
          <w:sz w:val="24"/>
          <w:szCs w:val="24"/>
        </w:rPr>
      </w:pPr>
      <w:r>
        <w:rPr>
          <w:sz w:val="24"/>
          <w:szCs w:val="24"/>
        </w:rPr>
        <w:t xml:space="preserve">Ένα ζήτημα το οποίο απασχόλησε ιδιαίτερα τον επιχειρηματικό κόσμο το προηγούμενο διάστημα ήταν ο νέος τεκμαρτός τρόπος φορολόγησης των ατομικών επιχειρήσεων που εισήχθη με τον Ν. </w:t>
      </w:r>
      <w:r w:rsidR="0065621A">
        <w:rPr>
          <w:sz w:val="24"/>
          <w:szCs w:val="24"/>
        </w:rPr>
        <w:t xml:space="preserve">5073/2023. Σε αυτό το πλαίσιο και </w:t>
      </w:r>
      <w:r w:rsidR="0019755E">
        <w:rPr>
          <w:sz w:val="24"/>
          <w:szCs w:val="24"/>
        </w:rPr>
        <w:t xml:space="preserve">εντός </w:t>
      </w:r>
      <w:r w:rsidR="0065621A">
        <w:rPr>
          <w:sz w:val="24"/>
          <w:szCs w:val="24"/>
        </w:rPr>
        <w:t>τη</w:t>
      </w:r>
      <w:r w:rsidR="0019755E">
        <w:rPr>
          <w:sz w:val="24"/>
          <w:szCs w:val="24"/>
        </w:rPr>
        <w:t>ς</w:t>
      </w:r>
      <w:r w:rsidR="0065621A">
        <w:rPr>
          <w:sz w:val="24"/>
          <w:szCs w:val="24"/>
        </w:rPr>
        <w:t xml:space="preserve"> προβληματική</w:t>
      </w:r>
      <w:r w:rsidR="0019755E">
        <w:rPr>
          <w:sz w:val="24"/>
          <w:szCs w:val="24"/>
        </w:rPr>
        <w:t>ς</w:t>
      </w:r>
      <w:r w:rsidR="0065621A">
        <w:rPr>
          <w:sz w:val="24"/>
          <w:szCs w:val="24"/>
        </w:rPr>
        <w:t xml:space="preserve"> που δημιουργήθηκε το προηγούμενο διάστημα σχετικά με την αναγκαιότητα αλλά και τις παρεπόμενες συνέπειες της νέας φορολογικής ρύθμισης</w:t>
      </w:r>
      <w:r w:rsidR="0019755E">
        <w:rPr>
          <w:sz w:val="24"/>
          <w:szCs w:val="24"/>
        </w:rPr>
        <w:t>,</w:t>
      </w:r>
      <w:r w:rsidR="0065621A">
        <w:rPr>
          <w:sz w:val="24"/>
          <w:szCs w:val="24"/>
        </w:rPr>
        <w:t xml:space="preserve"> ρωτήθηκαν οι μικροί και πολύ μικροί επιχειρηματίες για τις επιπτώσεις που θεωρούν ότι θα έχει ο νέος τρόπος φορολόγησης των ατομικών επιχειρήσεων, με εξαίρεση την ενδεχόμενη αύξηση των φορολογικών βαρών.</w:t>
      </w:r>
      <w:r w:rsidR="00EE3DCA">
        <w:rPr>
          <w:sz w:val="24"/>
          <w:szCs w:val="24"/>
        </w:rPr>
        <w:t xml:space="preserve"> </w:t>
      </w:r>
      <w:r w:rsidR="0065621A">
        <w:rPr>
          <w:sz w:val="24"/>
          <w:szCs w:val="24"/>
        </w:rPr>
        <w:t xml:space="preserve"> </w:t>
      </w:r>
    </w:p>
    <w:p w14:paraId="41D87FDD" w14:textId="06613127" w:rsidR="0065621A" w:rsidRDefault="0065621A" w:rsidP="00700BFC">
      <w:pPr>
        <w:spacing w:after="0" w:line="360" w:lineRule="auto"/>
        <w:jc w:val="both"/>
        <w:rPr>
          <w:sz w:val="24"/>
          <w:szCs w:val="24"/>
        </w:rPr>
      </w:pPr>
      <w:r>
        <w:rPr>
          <w:sz w:val="24"/>
          <w:szCs w:val="24"/>
        </w:rPr>
        <w:t xml:space="preserve">Τα σημαντικότερα ευρήματα της έρευνας </w:t>
      </w:r>
      <w:r w:rsidR="0019755E">
        <w:rPr>
          <w:sz w:val="24"/>
          <w:szCs w:val="24"/>
        </w:rPr>
        <w:t xml:space="preserve">από </w:t>
      </w:r>
      <w:r>
        <w:rPr>
          <w:sz w:val="24"/>
          <w:szCs w:val="24"/>
        </w:rPr>
        <w:t>το προαναφερόμενο ερώτημα ήταν τα ακόλουθα:</w:t>
      </w:r>
    </w:p>
    <w:p w14:paraId="6EE25BA5" w14:textId="037060A4" w:rsidR="0065621A" w:rsidRDefault="0065621A" w:rsidP="0065621A">
      <w:pPr>
        <w:pStyle w:val="a3"/>
        <w:numPr>
          <w:ilvl w:val="0"/>
          <w:numId w:val="19"/>
        </w:numPr>
        <w:spacing w:after="0" w:line="360" w:lineRule="auto"/>
        <w:jc w:val="both"/>
        <w:rPr>
          <w:sz w:val="24"/>
          <w:szCs w:val="24"/>
        </w:rPr>
      </w:pPr>
      <w:r>
        <w:rPr>
          <w:sz w:val="24"/>
          <w:szCs w:val="24"/>
        </w:rPr>
        <w:t>6 στις 10 επιχειρήσεις (61%) θεωρούν ότι ο νέος τεκμαρτός τρόπος φορολόγησης των ατομικών επιχειρήσεων θα οδηγήσει σε νέα λουκέτα.</w:t>
      </w:r>
    </w:p>
    <w:p w14:paraId="60A36D12" w14:textId="2331B10E" w:rsidR="0065621A" w:rsidRDefault="00F360D8" w:rsidP="0065621A">
      <w:pPr>
        <w:pStyle w:val="a3"/>
        <w:numPr>
          <w:ilvl w:val="0"/>
          <w:numId w:val="19"/>
        </w:numPr>
        <w:spacing w:after="0" w:line="360" w:lineRule="auto"/>
        <w:jc w:val="both"/>
        <w:rPr>
          <w:sz w:val="24"/>
          <w:szCs w:val="24"/>
        </w:rPr>
      </w:pPr>
      <w:r>
        <w:rPr>
          <w:sz w:val="24"/>
          <w:szCs w:val="24"/>
        </w:rPr>
        <w:t>Π</w:t>
      </w:r>
      <w:r w:rsidR="0019755E">
        <w:rPr>
          <w:sz w:val="24"/>
          <w:szCs w:val="24"/>
        </w:rPr>
        <w:t>άνω</w:t>
      </w:r>
      <w:r w:rsidR="0065621A">
        <w:rPr>
          <w:sz w:val="24"/>
          <w:szCs w:val="24"/>
        </w:rPr>
        <w:t xml:space="preserve"> από 1 στις 4 επιχειρήσεις (27,1%) θεωρ</w:t>
      </w:r>
      <w:r w:rsidR="0019755E">
        <w:rPr>
          <w:sz w:val="24"/>
          <w:szCs w:val="24"/>
        </w:rPr>
        <w:t>εί</w:t>
      </w:r>
      <w:r w:rsidR="0065621A">
        <w:rPr>
          <w:sz w:val="24"/>
          <w:szCs w:val="24"/>
        </w:rPr>
        <w:t xml:space="preserve"> ότι θα αυξ</w:t>
      </w:r>
      <w:r w:rsidR="0019755E">
        <w:rPr>
          <w:sz w:val="24"/>
          <w:szCs w:val="24"/>
        </w:rPr>
        <w:t>ηθεί</w:t>
      </w:r>
      <w:r w:rsidR="0065621A">
        <w:rPr>
          <w:sz w:val="24"/>
          <w:szCs w:val="24"/>
        </w:rPr>
        <w:t xml:space="preserve"> η φοροδιαφυγή. Δηλαδή θα έχει το αντίθετο αποτέλεσμα από αυτό για το οποίο σε γενικές γραμμές υιοθετήθηκε η συγκεκριμένη </w:t>
      </w:r>
      <w:r w:rsidR="0065621A">
        <w:rPr>
          <w:sz w:val="24"/>
          <w:szCs w:val="24"/>
        </w:rPr>
        <w:lastRenderedPageBreak/>
        <w:t>ρύθμιση.</w:t>
      </w:r>
      <w:r w:rsidR="00EE3DCA">
        <w:rPr>
          <w:sz w:val="24"/>
          <w:szCs w:val="24"/>
        </w:rPr>
        <w:t xml:space="preserve"> </w:t>
      </w:r>
      <w:r w:rsidR="0065621A">
        <w:rPr>
          <w:sz w:val="24"/>
          <w:szCs w:val="24"/>
        </w:rPr>
        <w:t>Από την άλλη μεριά, μόλις το 7,7% θεωρεί ότι θα μειωθεί η φοροδιαφυγή, ενώ το 5,1% θεωρεί ότι δεν θα επιφέρει καμία αλλαγή στη φορολογική συμπεριφορά των επιχειρήσεων.</w:t>
      </w:r>
    </w:p>
    <w:p w14:paraId="00134CAB" w14:textId="6CB71EE2" w:rsidR="0065621A" w:rsidRDefault="0065621A" w:rsidP="0065621A">
      <w:pPr>
        <w:pStyle w:val="a3"/>
        <w:numPr>
          <w:ilvl w:val="0"/>
          <w:numId w:val="19"/>
        </w:numPr>
        <w:spacing w:after="0" w:line="360" w:lineRule="auto"/>
        <w:jc w:val="both"/>
        <w:rPr>
          <w:sz w:val="24"/>
          <w:szCs w:val="24"/>
        </w:rPr>
      </w:pPr>
      <w:r>
        <w:rPr>
          <w:sz w:val="24"/>
          <w:szCs w:val="24"/>
        </w:rPr>
        <w:t>Το 17,2% θεωρεί ότι θα οδηγήσει σε αλλαγή της εταιρικής μορφής των επιχειρήσεων (από ατομικές σε εταιρείες).</w:t>
      </w:r>
    </w:p>
    <w:p w14:paraId="396181A3" w14:textId="058E4CD9" w:rsidR="0065621A" w:rsidRPr="0065621A" w:rsidRDefault="0065621A" w:rsidP="0065621A">
      <w:pPr>
        <w:pStyle w:val="a3"/>
        <w:numPr>
          <w:ilvl w:val="0"/>
          <w:numId w:val="19"/>
        </w:numPr>
        <w:spacing w:after="0" w:line="360" w:lineRule="auto"/>
        <w:jc w:val="both"/>
        <w:rPr>
          <w:sz w:val="24"/>
          <w:szCs w:val="24"/>
        </w:rPr>
      </w:pPr>
      <w:r>
        <w:rPr>
          <w:sz w:val="24"/>
          <w:szCs w:val="24"/>
        </w:rPr>
        <w:t xml:space="preserve">Τέλος, μόλις το 3,9% θεώρει ότι η συγκεκριμένη ρύθμιση δεν θα έχει καμία αρνητική </w:t>
      </w:r>
      <w:r w:rsidR="00E70DDB">
        <w:rPr>
          <w:sz w:val="24"/>
          <w:szCs w:val="24"/>
        </w:rPr>
        <w:t>επίπτωση</w:t>
      </w:r>
      <w:r>
        <w:rPr>
          <w:sz w:val="24"/>
          <w:szCs w:val="24"/>
        </w:rPr>
        <w:t xml:space="preserve"> για τις επιχειρήσεις. </w:t>
      </w:r>
    </w:p>
    <w:p w14:paraId="7E7030A9" w14:textId="44623609" w:rsidR="0065621A" w:rsidRDefault="00E70DDB" w:rsidP="00700BFC">
      <w:pPr>
        <w:spacing w:after="0" w:line="360" w:lineRule="auto"/>
        <w:jc w:val="both"/>
        <w:rPr>
          <w:sz w:val="24"/>
          <w:szCs w:val="24"/>
        </w:rPr>
      </w:pPr>
      <w:r>
        <w:rPr>
          <w:sz w:val="24"/>
          <w:szCs w:val="24"/>
        </w:rPr>
        <w:t xml:space="preserve">Από τις απαντήσεις στο ερώτημα για τις επιπτώσεις από τον νέο τρόπο τεκμαρτής φορολόγησης των επιχειρήσεων εξηγείται εν μέρει και η αύξηση της απαισιοδοξίας των μικρών και πολύ μικρών επιχειρήσεων σχετικά με τη μελλοντική τους βιωσιμότητα. </w:t>
      </w:r>
    </w:p>
    <w:p w14:paraId="5E1DB607" w14:textId="7F2464FE" w:rsidR="00E70DDB" w:rsidRPr="00336DCC" w:rsidRDefault="00E70DDB" w:rsidP="00700BFC">
      <w:pPr>
        <w:spacing w:after="0" w:line="360" w:lineRule="auto"/>
        <w:jc w:val="both"/>
        <w:rPr>
          <w:sz w:val="24"/>
          <w:szCs w:val="24"/>
        </w:rPr>
      </w:pPr>
      <w:r>
        <w:rPr>
          <w:sz w:val="24"/>
          <w:szCs w:val="24"/>
        </w:rPr>
        <w:t xml:space="preserve">Ιδιαίτερα αρνητικά επί της νέας φορολογικής ρύθμισης είναι τα ποσοστά </w:t>
      </w:r>
      <w:r w:rsidR="00E226B6">
        <w:rPr>
          <w:sz w:val="24"/>
          <w:szCs w:val="24"/>
        </w:rPr>
        <w:t xml:space="preserve">στις </w:t>
      </w:r>
      <w:r>
        <w:rPr>
          <w:sz w:val="24"/>
          <w:szCs w:val="24"/>
        </w:rPr>
        <w:t>επιχειρήσε</w:t>
      </w:r>
      <w:r w:rsidR="00E226B6">
        <w:rPr>
          <w:sz w:val="24"/>
          <w:szCs w:val="24"/>
        </w:rPr>
        <w:t>ις</w:t>
      </w:r>
      <w:r>
        <w:rPr>
          <w:sz w:val="24"/>
          <w:szCs w:val="24"/>
        </w:rPr>
        <w:t xml:space="preserve"> χωρίς προσωπικό (αυτοαπασχολούμενοι</w:t>
      </w:r>
      <w:r w:rsidR="00E226B6">
        <w:rPr>
          <w:sz w:val="24"/>
          <w:szCs w:val="24"/>
        </w:rPr>
        <w:t>/ες</w:t>
      </w:r>
      <w:r>
        <w:rPr>
          <w:sz w:val="24"/>
          <w:szCs w:val="24"/>
        </w:rPr>
        <w:t xml:space="preserve"> – ελεύθεροι</w:t>
      </w:r>
      <w:r w:rsidR="00E226B6">
        <w:rPr>
          <w:sz w:val="24"/>
          <w:szCs w:val="24"/>
        </w:rPr>
        <w:t>/ες</w:t>
      </w:r>
      <w:r>
        <w:rPr>
          <w:sz w:val="24"/>
          <w:szCs w:val="24"/>
        </w:rPr>
        <w:t xml:space="preserve"> επαγγελματίες)</w:t>
      </w:r>
      <w:r w:rsidR="00E226B6">
        <w:rPr>
          <w:sz w:val="24"/>
          <w:szCs w:val="24"/>
        </w:rPr>
        <w:t>,</w:t>
      </w:r>
      <w:r>
        <w:rPr>
          <w:sz w:val="24"/>
          <w:szCs w:val="24"/>
        </w:rPr>
        <w:t xml:space="preserve"> καθώς το 73,2% αυτών θεωρεί ότι θα οδηγήσει σε κλείσιμο επιχειρήσεων. Ανάλογο είναι και το ποσοστό </w:t>
      </w:r>
      <w:r w:rsidR="00E226B6">
        <w:rPr>
          <w:sz w:val="24"/>
          <w:szCs w:val="24"/>
        </w:rPr>
        <w:t>στις</w:t>
      </w:r>
      <w:r>
        <w:rPr>
          <w:sz w:val="24"/>
          <w:szCs w:val="24"/>
        </w:rPr>
        <w:t xml:space="preserve"> επιχειρήσε</w:t>
      </w:r>
      <w:r w:rsidR="00E226B6">
        <w:rPr>
          <w:sz w:val="24"/>
          <w:szCs w:val="24"/>
        </w:rPr>
        <w:t>ις</w:t>
      </w:r>
      <w:r>
        <w:rPr>
          <w:sz w:val="24"/>
          <w:szCs w:val="24"/>
        </w:rPr>
        <w:t xml:space="preserve"> με κύκλο εργασιών έως 50.000 € (73,4%). Με </w:t>
      </w:r>
      <w:r w:rsidR="00BB26DC">
        <w:rPr>
          <w:sz w:val="24"/>
          <w:szCs w:val="24"/>
        </w:rPr>
        <w:t>άλλα</w:t>
      </w:r>
      <w:r>
        <w:rPr>
          <w:sz w:val="24"/>
          <w:szCs w:val="24"/>
        </w:rPr>
        <w:t xml:space="preserve"> λόγια</w:t>
      </w:r>
      <w:r w:rsidR="00E226B6">
        <w:rPr>
          <w:sz w:val="24"/>
          <w:szCs w:val="24"/>
        </w:rPr>
        <w:t>,</w:t>
      </w:r>
      <w:r>
        <w:rPr>
          <w:sz w:val="24"/>
          <w:szCs w:val="24"/>
        </w:rPr>
        <w:t xml:space="preserve"> οι επιχειρήσεις που φαίνεται ότι </w:t>
      </w:r>
      <w:r w:rsidR="00BB26DC">
        <w:rPr>
          <w:sz w:val="24"/>
          <w:szCs w:val="24"/>
        </w:rPr>
        <w:t xml:space="preserve">κατά βάση θα επηρεαστούν από τη νέα φορολογία των ατομικών επιχειρήσεων είναι εκείνες που εκφράζουν σε συντριπτικά ποσοστά ότι η νέα ρύθμιση θα επηρεάσει τη βιωσιμότητα των επιχειρήσεων. </w:t>
      </w:r>
    </w:p>
    <w:p w14:paraId="545DB151" w14:textId="77777777" w:rsidR="009C2B1E" w:rsidRPr="00336DCC" w:rsidRDefault="009C2B1E" w:rsidP="00700BFC">
      <w:pPr>
        <w:spacing w:after="0" w:line="360" w:lineRule="auto"/>
        <w:jc w:val="both"/>
        <w:rPr>
          <w:b/>
          <w:sz w:val="24"/>
          <w:szCs w:val="24"/>
          <w:u w:val="single"/>
        </w:rPr>
      </w:pPr>
    </w:p>
    <w:p w14:paraId="296841E0" w14:textId="700E6C82" w:rsidR="009C2B1E" w:rsidRPr="00336DCC" w:rsidRDefault="00946231" w:rsidP="00700BFC">
      <w:pPr>
        <w:spacing w:after="0" w:line="360" w:lineRule="auto"/>
        <w:jc w:val="both"/>
        <w:rPr>
          <w:b/>
          <w:sz w:val="24"/>
          <w:szCs w:val="24"/>
          <w:u w:val="single"/>
        </w:rPr>
      </w:pPr>
      <w:r>
        <w:rPr>
          <w:noProof/>
        </w:rPr>
        <w:drawing>
          <wp:inline distT="0" distB="0" distL="0" distR="0" wp14:anchorId="7465B554" wp14:editId="33481C03">
            <wp:extent cx="6687047" cy="3538330"/>
            <wp:effectExtent l="0" t="0" r="19050" b="2413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9961FE" w14:textId="77777777" w:rsidR="00F7091F" w:rsidRDefault="00F7091F" w:rsidP="00700BFC">
      <w:pPr>
        <w:spacing w:after="0" w:line="360" w:lineRule="auto"/>
        <w:jc w:val="both"/>
        <w:rPr>
          <w:b/>
          <w:sz w:val="24"/>
          <w:szCs w:val="24"/>
          <w:u w:val="single"/>
        </w:rPr>
      </w:pPr>
      <w:bookmarkStart w:id="2" w:name="_GoBack"/>
      <w:bookmarkEnd w:id="2"/>
    </w:p>
    <w:p w14:paraId="6951387E" w14:textId="77777777" w:rsidR="00F7091F" w:rsidRDefault="00F7091F" w:rsidP="00700BFC">
      <w:pPr>
        <w:spacing w:after="0" w:line="360" w:lineRule="auto"/>
        <w:jc w:val="both"/>
        <w:rPr>
          <w:b/>
          <w:sz w:val="24"/>
          <w:szCs w:val="24"/>
          <w:u w:val="single"/>
        </w:rPr>
      </w:pPr>
    </w:p>
    <w:p w14:paraId="7CEF0B89" w14:textId="77777777" w:rsidR="00DE77D0" w:rsidRDefault="00DE77D0" w:rsidP="00700BFC">
      <w:pPr>
        <w:spacing w:after="0" w:line="360" w:lineRule="auto"/>
        <w:jc w:val="both"/>
        <w:rPr>
          <w:b/>
          <w:sz w:val="24"/>
          <w:szCs w:val="24"/>
          <w:u w:val="single"/>
        </w:rPr>
      </w:pPr>
    </w:p>
    <w:p w14:paraId="4DB98D1C" w14:textId="492415C9" w:rsidR="00B36044" w:rsidRPr="005D0CB1" w:rsidRDefault="005D0CB1" w:rsidP="005D0CB1">
      <w:pPr>
        <w:spacing w:after="0" w:line="360" w:lineRule="auto"/>
        <w:jc w:val="center"/>
        <w:rPr>
          <w:b/>
          <w:sz w:val="32"/>
          <w:szCs w:val="32"/>
        </w:rPr>
      </w:pPr>
      <w:r w:rsidRPr="005D0CB1">
        <w:rPr>
          <w:b/>
          <w:sz w:val="32"/>
          <w:szCs w:val="32"/>
        </w:rPr>
        <w:t>ΠΑΡΑΡΤΗΜΑ 1</w:t>
      </w:r>
    </w:p>
    <w:tbl>
      <w:tblPr>
        <w:tblW w:w="5000" w:type="pct"/>
        <w:tblLook w:val="04A0" w:firstRow="1" w:lastRow="0" w:firstColumn="1" w:lastColumn="0" w:noHBand="0" w:noVBand="1"/>
      </w:tblPr>
      <w:tblGrid>
        <w:gridCol w:w="5280"/>
        <w:gridCol w:w="3616"/>
        <w:gridCol w:w="1809"/>
      </w:tblGrid>
      <w:tr w:rsidR="007A3A82" w:rsidRPr="007A3A82" w14:paraId="3216B000" w14:textId="77777777" w:rsidTr="007A3A82">
        <w:trPr>
          <w:trHeight w:val="300"/>
        </w:trPr>
        <w:tc>
          <w:tcPr>
            <w:tcW w:w="5000" w:type="pct"/>
            <w:gridSpan w:val="3"/>
            <w:tcBorders>
              <w:top w:val="single" w:sz="12" w:space="0" w:color="auto"/>
              <w:left w:val="single" w:sz="12" w:space="0" w:color="auto"/>
              <w:bottom w:val="single" w:sz="4" w:space="0" w:color="auto"/>
              <w:right w:val="single" w:sz="12" w:space="0" w:color="000000"/>
            </w:tcBorders>
            <w:shd w:val="clear" w:color="D9E1F2" w:fill="D9E1F2"/>
            <w:noWrap/>
            <w:vAlign w:val="bottom"/>
            <w:hideMark/>
          </w:tcPr>
          <w:p w14:paraId="62675AE3" w14:textId="77777777" w:rsidR="007A3A82" w:rsidRPr="00336DCC" w:rsidRDefault="007A3A82" w:rsidP="00700BFC">
            <w:pPr>
              <w:spacing w:after="0" w:line="240" w:lineRule="auto"/>
              <w:jc w:val="center"/>
              <w:rPr>
                <w:rFonts w:eastAsia="Times New Roman" w:cstheme="minorHAnsi"/>
                <w:b/>
                <w:bCs/>
                <w:color w:val="000000"/>
                <w:sz w:val="28"/>
                <w:szCs w:val="28"/>
              </w:rPr>
            </w:pPr>
            <w:r w:rsidRPr="00336DCC">
              <w:rPr>
                <w:rFonts w:eastAsia="Times New Roman" w:cstheme="minorHAnsi"/>
                <w:b/>
                <w:bCs/>
                <w:color w:val="000000"/>
                <w:sz w:val="28"/>
                <w:szCs w:val="28"/>
              </w:rPr>
              <w:t>ΣΥΝΘΕΣΗ ΔΕΙΓΜΑΤΟΣ</w:t>
            </w:r>
          </w:p>
        </w:tc>
      </w:tr>
      <w:tr w:rsidR="007A3A82" w:rsidRPr="007A3A82" w14:paraId="0D535D77"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B6ABB4E"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ΚΛΑΔΟΣ</w:t>
            </w:r>
          </w:p>
        </w:tc>
        <w:tc>
          <w:tcPr>
            <w:tcW w:w="1689" w:type="pct"/>
            <w:tcBorders>
              <w:top w:val="nil"/>
              <w:left w:val="nil"/>
              <w:bottom w:val="single" w:sz="4" w:space="0" w:color="auto"/>
              <w:right w:val="single" w:sz="4" w:space="0" w:color="auto"/>
            </w:tcBorders>
            <w:shd w:val="clear" w:color="auto" w:fill="auto"/>
            <w:noWrap/>
            <w:vAlign w:val="bottom"/>
            <w:hideMark/>
          </w:tcPr>
          <w:p w14:paraId="38A067D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Εμπόριο</w:t>
            </w:r>
          </w:p>
        </w:tc>
        <w:tc>
          <w:tcPr>
            <w:tcW w:w="844" w:type="pct"/>
            <w:tcBorders>
              <w:top w:val="nil"/>
              <w:left w:val="nil"/>
              <w:bottom w:val="single" w:sz="4" w:space="0" w:color="auto"/>
              <w:right w:val="single" w:sz="12" w:space="0" w:color="auto"/>
            </w:tcBorders>
            <w:shd w:val="clear" w:color="auto" w:fill="auto"/>
            <w:noWrap/>
            <w:vAlign w:val="bottom"/>
            <w:hideMark/>
          </w:tcPr>
          <w:p w14:paraId="7CBD82E4" w14:textId="60661C16" w:rsidR="007A3A82" w:rsidRPr="00336DCC" w:rsidRDefault="007E0B5C" w:rsidP="000B2B5B">
            <w:pPr>
              <w:spacing w:after="0" w:line="240" w:lineRule="auto"/>
              <w:jc w:val="center"/>
              <w:rPr>
                <w:rFonts w:eastAsia="Times New Roman" w:cstheme="minorHAnsi"/>
                <w:color w:val="000000"/>
                <w:sz w:val="24"/>
                <w:szCs w:val="24"/>
              </w:rPr>
            </w:pPr>
            <w:r w:rsidRPr="00336DCC">
              <w:rPr>
                <w:rFonts w:eastAsia="Times New Roman" w:cstheme="minorHAnsi"/>
                <w:color w:val="000000"/>
                <w:sz w:val="24"/>
                <w:szCs w:val="24"/>
              </w:rPr>
              <w:t>37,</w:t>
            </w:r>
            <w:r w:rsidR="000B2B5B" w:rsidRPr="00336DCC">
              <w:rPr>
                <w:rFonts w:eastAsia="Times New Roman" w:cstheme="minorHAnsi"/>
                <w:color w:val="000000"/>
                <w:sz w:val="24"/>
                <w:szCs w:val="24"/>
              </w:rPr>
              <w:t>7</w:t>
            </w:r>
            <w:r w:rsidR="007A3A82" w:rsidRPr="00336DCC">
              <w:rPr>
                <w:rFonts w:eastAsia="Times New Roman" w:cstheme="minorHAnsi"/>
                <w:color w:val="000000"/>
                <w:sz w:val="24"/>
                <w:szCs w:val="24"/>
              </w:rPr>
              <w:t>%</w:t>
            </w:r>
          </w:p>
        </w:tc>
      </w:tr>
      <w:tr w:rsidR="007A3A82" w:rsidRPr="007A3A82" w14:paraId="5D33AA5D"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23562C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651BC0F0"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Μεταποίηση</w:t>
            </w:r>
          </w:p>
        </w:tc>
        <w:tc>
          <w:tcPr>
            <w:tcW w:w="844" w:type="pct"/>
            <w:tcBorders>
              <w:top w:val="nil"/>
              <w:left w:val="nil"/>
              <w:bottom w:val="single" w:sz="4" w:space="0" w:color="auto"/>
              <w:right w:val="single" w:sz="12" w:space="0" w:color="auto"/>
            </w:tcBorders>
            <w:shd w:val="clear" w:color="auto" w:fill="auto"/>
            <w:noWrap/>
            <w:vAlign w:val="bottom"/>
            <w:hideMark/>
          </w:tcPr>
          <w:p w14:paraId="74C5A40E" w14:textId="4F3A4934" w:rsidR="007A3A82" w:rsidRPr="00336DCC" w:rsidRDefault="00A30A1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23</w:t>
            </w:r>
            <w:r w:rsidR="007E0B5C" w:rsidRPr="00336DCC">
              <w:rPr>
                <w:rFonts w:eastAsia="Times New Roman" w:cstheme="minorHAnsi"/>
                <w:color w:val="000000"/>
                <w:sz w:val="24"/>
                <w:szCs w:val="24"/>
              </w:rPr>
              <w:t>,</w:t>
            </w:r>
            <w:r w:rsidR="000B2B5B" w:rsidRPr="00336DCC">
              <w:rPr>
                <w:rFonts w:eastAsia="Times New Roman" w:cstheme="minorHAnsi"/>
                <w:color w:val="000000"/>
                <w:sz w:val="24"/>
                <w:szCs w:val="24"/>
              </w:rPr>
              <w:t>1</w:t>
            </w:r>
            <w:r w:rsidR="007A3A82" w:rsidRPr="00336DCC">
              <w:rPr>
                <w:rFonts w:eastAsia="Times New Roman" w:cstheme="minorHAnsi"/>
                <w:color w:val="000000"/>
                <w:sz w:val="24"/>
                <w:szCs w:val="24"/>
              </w:rPr>
              <w:t>%</w:t>
            </w:r>
          </w:p>
        </w:tc>
      </w:tr>
      <w:tr w:rsidR="007A3A82" w:rsidRPr="007A3A82" w14:paraId="3DFCBE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21BA69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19D31C3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Υπηρεσίες</w:t>
            </w:r>
          </w:p>
        </w:tc>
        <w:tc>
          <w:tcPr>
            <w:tcW w:w="844" w:type="pct"/>
            <w:tcBorders>
              <w:top w:val="nil"/>
              <w:left w:val="nil"/>
              <w:bottom w:val="single" w:sz="4" w:space="0" w:color="auto"/>
              <w:right w:val="single" w:sz="12" w:space="0" w:color="auto"/>
            </w:tcBorders>
            <w:shd w:val="clear" w:color="auto" w:fill="auto"/>
            <w:noWrap/>
            <w:vAlign w:val="bottom"/>
            <w:hideMark/>
          </w:tcPr>
          <w:p w14:paraId="52EF3623" w14:textId="1BCD4B5B" w:rsidR="007A3A82" w:rsidRPr="00336DCC" w:rsidRDefault="00A30A1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39,2</w:t>
            </w:r>
            <w:r w:rsidR="007A3A82" w:rsidRPr="00336DCC">
              <w:rPr>
                <w:rFonts w:eastAsia="Times New Roman" w:cstheme="minorHAnsi"/>
                <w:color w:val="000000"/>
                <w:sz w:val="24"/>
                <w:szCs w:val="24"/>
              </w:rPr>
              <w:t>%</w:t>
            </w:r>
          </w:p>
        </w:tc>
      </w:tr>
      <w:tr w:rsidR="007A3A82" w:rsidRPr="007A3A82" w14:paraId="24542DDA"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42D892A"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ΝΟΜΙΚΗ ΜΟΡΦΗ</w:t>
            </w:r>
          </w:p>
        </w:tc>
        <w:tc>
          <w:tcPr>
            <w:tcW w:w="1689" w:type="pct"/>
            <w:tcBorders>
              <w:top w:val="nil"/>
              <w:left w:val="nil"/>
              <w:bottom w:val="single" w:sz="4" w:space="0" w:color="auto"/>
              <w:right w:val="single" w:sz="4" w:space="0" w:color="auto"/>
            </w:tcBorders>
            <w:shd w:val="clear" w:color="auto" w:fill="auto"/>
            <w:noWrap/>
            <w:vAlign w:val="bottom"/>
            <w:hideMark/>
          </w:tcPr>
          <w:p w14:paraId="01F3CE74" w14:textId="77777777" w:rsidR="007A3A82" w:rsidRPr="0065621A"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Ατομ</w:t>
            </w:r>
            <w:r w:rsidRPr="0065621A">
              <w:rPr>
                <w:rFonts w:eastAsia="Times New Roman" w:cstheme="minorHAnsi"/>
                <w:color w:val="000000"/>
                <w:sz w:val="24"/>
                <w:szCs w:val="24"/>
              </w:rPr>
              <w:t>ική</w:t>
            </w:r>
          </w:p>
        </w:tc>
        <w:tc>
          <w:tcPr>
            <w:tcW w:w="844" w:type="pct"/>
            <w:tcBorders>
              <w:top w:val="nil"/>
              <w:left w:val="nil"/>
              <w:bottom w:val="single" w:sz="4" w:space="0" w:color="auto"/>
              <w:right w:val="single" w:sz="12" w:space="0" w:color="auto"/>
            </w:tcBorders>
            <w:shd w:val="clear" w:color="auto" w:fill="auto"/>
            <w:noWrap/>
            <w:vAlign w:val="bottom"/>
            <w:hideMark/>
          </w:tcPr>
          <w:p w14:paraId="0143E27B" w14:textId="33F3D044" w:rsidR="007A3A82" w:rsidRPr="0065621A" w:rsidRDefault="00D0357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60,</w:t>
            </w:r>
            <w:r w:rsidR="000B2B5B" w:rsidRPr="0065621A">
              <w:rPr>
                <w:rFonts w:eastAsia="Times New Roman" w:cstheme="minorHAnsi"/>
                <w:color w:val="000000"/>
                <w:sz w:val="24"/>
                <w:szCs w:val="24"/>
              </w:rPr>
              <w:t>8</w:t>
            </w:r>
            <w:r w:rsidR="007A3A82" w:rsidRPr="0065621A">
              <w:rPr>
                <w:rFonts w:eastAsia="Times New Roman" w:cstheme="minorHAnsi"/>
                <w:color w:val="000000"/>
                <w:sz w:val="24"/>
                <w:szCs w:val="24"/>
              </w:rPr>
              <w:t>%</w:t>
            </w:r>
          </w:p>
        </w:tc>
      </w:tr>
      <w:tr w:rsidR="007A3A82" w:rsidRPr="007A3A82" w14:paraId="0555831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C6FD244" w14:textId="77777777" w:rsidR="007A3A82" w:rsidRPr="0065621A"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78E24BBC" w14:textId="77777777" w:rsidR="007A3A82" w:rsidRPr="007A3A82" w:rsidRDefault="007A3A82" w:rsidP="00700BFC">
            <w:pPr>
              <w:spacing w:after="0" w:line="240" w:lineRule="auto"/>
              <w:rPr>
                <w:rFonts w:eastAsia="Times New Roman" w:cstheme="minorHAnsi"/>
                <w:color w:val="000000"/>
                <w:sz w:val="24"/>
                <w:szCs w:val="24"/>
                <w:lang w:val="en-US"/>
              </w:rPr>
            </w:pPr>
            <w:r w:rsidRPr="0065621A">
              <w:rPr>
                <w:rFonts w:eastAsia="Times New Roman" w:cstheme="minorHAnsi"/>
                <w:color w:val="000000"/>
                <w:sz w:val="24"/>
                <w:szCs w:val="24"/>
              </w:rPr>
              <w:t>Ο</w:t>
            </w:r>
            <w:r w:rsidRPr="007A3A82">
              <w:rPr>
                <w:rFonts w:eastAsia="Times New Roman" w:cstheme="minorHAnsi"/>
                <w:color w:val="000000"/>
                <w:sz w:val="24"/>
                <w:szCs w:val="24"/>
                <w:lang w:val="en-US"/>
              </w:rPr>
              <w:t>Ε-ΕΕ</w:t>
            </w:r>
          </w:p>
        </w:tc>
        <w:tc>
          <w:tcPr>
            <w:tcW w:w="844" w:type="pct"/>
            <w:tcBorders>
              <w:top w:val="nil"/>
              <w:left w:val="nil"/>
              <w:bottom w:val="single" w:sz="4" w:space="0" w:color="auto"/>
              <w:right w:val="single" w:sz="12" w:space="0" w:color="auto"/>
            </w:tcBorders>
            <w:shd w:val="clear" w:color="auto" w:fill="auto"/>
            <w:noWrap/>
            <w:vAlign w:val="bottom"/>
            <w:hideMark/>
          </w:tcPr>
          <w:p w14:paraId="1C806954" w14:textId="5C67BD4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25,2</w:t>
            </w:r>
            <w:r w:rsidR="007A3A82" w:rsidRPr="007A3A82">
              <w:rPr>
                <w:rFonts w:eastAsia="Times New Roman" w:cstheme="minorHAnsi"/>
                <w:color w:val="000000"/>
                <w:sz w:val="24"/>
                <w:szCs w:val="24"/>
                <w:lang w:val="en-US"/>
              </w:rPr>
              <w:t>%</w:t>
            </w:r>
          </w:p>
        </w:tc>
      </w:tr>
      <w:tr w:rsidR="007A3A82" w:rsidRPr="007A3A82" w14:paraId="79DD94F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92354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131300"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ΙΚΕ </w:t>
            </w:r>
          </w:p>
        </w:tc>
        <w:tc>
          <w:tcPr>
            <w:tcW w:w="844" w:type="pct"/>
            <w:tcBorders>
              <w:top w:val="nil"/>
              <w:left w:val="nil"/>
              <w:bottom w:val="single" w:sz="4" w:space="0" w:color="auto"/>
              <w:right w:val="single" w:sz="12" w:space="0" w:color="auto"/>
            </w:tcBorders>
            <w:shd w:val="clear" w:color="auto" w:fill="auto"/>
            <w:noWrap/>
            <w:vAlign w:val="bottom"/>
            <w:hideMark/>
          </w:tcPr>
          <w:p w14:paraId="06CCCCE8" w14:textId="01AC59C4"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5</w:t>
            </w:r>
            <w:r w:rsidR="007A3A82" w:rsidRPr="007A3A82">
              <w:rPr>
                <w:rFonts w:eastAsia="Times New Roman" w:cstheme="minorHAnsi"/>
                <w:color w:val="000000"/>
                <w:sz w:val="24"/>
                <w:szCs w:val="24"/>
                <w:lang w:val="en-US"/>
              </w:rPr>
              <w:t>%</w:t>
            </w:r>
          </w:p>
        </w:tc>
      </w:tr>
      <w:tr w:rsidR="007A3A82" w:rsidRPr="007A3A82" w14:paraId="148747C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4A8491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708689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ΕΠΕ</w:t>
            </w:r>
          </w:p>
        </w:tc>
        <w:tc>
          <w:tcPr>
            <w:tcW w:w="844" w:type="pct"/>
            <w:tcBorders>
              <w:top w:val="nil"/>
              <w:left w:val="nil"/>
              <w:bottom w:val="single" w:sz="4" w:space="0" w:color="auto"/>
              <w:right w:val="single" w:sz="12" w:space="0" w:color="auto"/>
            </w:tcBorders>
            <w:shd w:val="clear" w:color="auto" w:fill="auto"/>
            <w:noWrap/>
            <w:vAlign w:val="bottom"/>
            <w:hideMark/>
          </w:tcPr>
          <w:p w14:paraId="68A1715F" w14:textId="1CC8DB29"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1</w:t>
            </w:r>
            <w:r>
              <w:rPr>
                <w:rFonts w:eastAsia="Times New Roman" w:cstheme="minorHAnsi"/>
                <w:color w:val="000000"/>
                <w:sz w:val="24"/>
                <w:szCs w:val="24"/>
              </w:rPr>
              <w:t>,5</w:t>
            </w:r>
            <w:r w:rsidR="007A3A82" w:rsidRPr="007A3A82">
              <w:rPr>
                <w:rFonts w:eastAsia="Times New Roman" w:cstheme="minorHAnsi"/>
                <w:color w:val="000000"/>
                <w:sz w:val="24"/>
                <w:szCs w:val="24"/>
                <w:lang w:val="en-US"/>
              </w:rPr>
              <w:t>%</w:t>
            </w:r>
          </w:p>
        </w:tc>
      </w:tr>
      <w:tr w:rsidR="007A3A82" w:rsidRPr="007A3A82" w14:paraId="5F7A3E81"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4D9068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4DBC767"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ΑΕ</w:t>
            </w:r>
          </w:p>
        </w:tc>
        <w:tc>
          <w:tcPr>
            <w:tcW w:w="844" w:type="pct"/>
            <w:tcBorders>
              <w:top w:val="nil"/>
              <w:left w:val="nil"/>
              <w:bottom w:val="single" w:sz="4" w:space="0" w:color="auto"/>
              <w:right w:val="single" w:sz="12" w:space="0" w:color="auto"/>
            </w:tcBorders>
            <w:shd w:val="clear" w:color="auto" w:fill="auto"/>
            <w:noWrap/>
            <w:vAlign w:val="bottom"/>
            <w:hideMark/>
          </w:tcPr>
          <w:p w14:paraId="6E7D7EE6" w14:textId="055819D6"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7,</w:t>
            </w:r>
            <w:r w:rsidR="000B2B5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50CE81F9"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6FBCCBE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 ΛΕΙΤΟΥΡΓΙΑΣ</w:t>
            </w:r>
          </w:p>
        </w:tc>
        <w:tc>
          <w:tcPr>
            <w:tcW w:w="1689" w:type="pct"/>
            <w:tcBorders>
              <w:top w:val="nil"/>
              <w:left w:val="nil"/>
              <w:bottom w:val="single" w:sz="4" w:space="0" w:color="auto"/>
              <w:right w:val="single" w:sz="4" w:space="0" w:color="auto"/>
            </w:tcBorders>
            <w:shd w:val="clear" w:color="auto" w:fill="auto"/>
            <w:noWrap/>
            <w:vAlign w:val="bottom"/>
            <w:hideMark/>
          </w:tcPr>
          <w:p w14:paraId="38E846F9"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1F78C4F" w14:textId="1FE3C803"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r w:rsidR="007A3A82" w:rsidRPr="007A3A82" w14:paraId="5329F25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D5D0E0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5F074A5"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5-10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4B79DB5" w14:textId="52D41D6C"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11,5</w:t>
            </w:r>
            <w:r w:rsidR="007A3A82" w:rsidRPr="007A3A82">
              <w:rPr>
                <w:rFonts w:eastAsia="Times New Roman" w:cstheme="minorHAnsi"/>
                <w:color w:val="000000"/>
                <w:sz w:val="24"/>
                <w:szCs w:val="24"/>
                <w:lang w:val="en-US"/>
              </w:rPr>
              <w:t>%</w:t>
            </w:r>
          </w:p>
        </w:tc>
      </w:tr>
      <w:tr w:rsidR="007A3A82" w:rsidRPr="007A3A82" w14:paraId="2D5505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B428EF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3730BF2"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10-15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3F9E0C92" w14:textId="7CDBBB73"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12,9</w:t>
            </w:r>
            <w:r w:rsidR="007A3A82" w:rsidRPr="007A3A82">
              <w:rPr>
                <w:rFonts w:eastAsia="Times New Roman" w:cstheme="minorHAnsi"/>
                <w:color w:val="000000"/>
                <w:sz w:val="24"/>
                <w:szCs w:val="24"/>
                <w:lang w:val="en-US"/>
              </w:rPr>
              <w:t>%</w:t>
            </w:r>
          </w:p>
        </w:tc>
      </w:tr>
      <w:tr w:rsidR="007A3A82" w:rsidRPr="007A3A82" w14:paraId="55BFDB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1C9450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169E793"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15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26E5B790" w14:textId="47D4072E"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62</w:t>
            </w:r>
            <w:r w:rsidR="00D03572">
              <w:rPr>
                <w:rFonts w:eastAsia="Times New Roman" w:cstheme="minorHAnsi"/>
                <w:color w:val="000000"/>
                <w:sz w:val="24"/>
                <w:szCs w:val="24"/>
              </w:rPr>
              <w:t>,5</w:t>
            </w:r>
            <w:r w:rsidR="007A3A82" w:rsidRPr="007A3A82">
              <w:rPr>
                <w:rFonts w:eastAsia="Times New Roman" w:cstheme="minorHAnsi"/>
                <w:color w:val="000000"/>
                <w:sz w:val="24"/>
                <w:szCs w:val="24"/>
                <w:lang w:val="en-US"/>
              </w:rPr>
              <w:t>%</w:t>
            </w:r>
          </w:p>
        </w:tc>
      </w:tr>
      <w:tr w:rsidR="007A3A82" w:rsidRPr="007A3A82" w14:paraId="23FB703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6385B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10E30D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2874CD79" w14:textId="07F56E96"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0,</w:t>
            </w:r>
            <w:r w:rsidR="000B2B5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37C97964"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000D2FA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ΑΡΙΘΜΟΣ ΕΡΓΑΖΟΜΕΝΩΝ</w:t>
            </w:r>
          </w:p>
        </w:tc>
        <w:tc>
          <w:tcPr>
            <w:tcW w:w="1689" w:type="pct"/>
            <w:tcBorders>
              <w:top w:val="nil"/>
              <w:left w:val="nil"/>
              <w:bottom w:val="single" w:sz="4" w:space="0" w:color="auto"/>
              <w:right w:val="single" w:sz="4" w:space="0" w:color="auto"/>
            </w:tcBorders>
            <w:shd w:val="clear" w:color="auto" w:fill="auto"/>
            <w:noWrap/>
            <w:vAlign w:val="bottom"/>
            <w:hideMark/>
          </w:tcPr>
          <w:p w14:paraId="14EAA1B8"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Χωρίς</w:t>
            </w:r>
            <w:proofErr w:type="spellEnd"/>
            <w:r w:rsidRPr="007A3A82">
              <w:rPr>
                <w:rFonts w:eastAsia="Times New Roman" w:cstheme="minorHAnsi"/>
                <w:color w:val="000000"/>
                <w:sz w:val="24"/>
                <w:szCs w:val="24"/>
                <w:lang w:val="en-US"/>
              </w:rPr>
              <w:t xml:space="preserve"> π</w:t>
            </w:r>
            <w:proofErr w:type="spellStart"/>
            <w:r w:rsidRPr="007A3A82">
              <w:rPr>
                <w:rFonts w:eastAsia="Times New Roman" w:cstheme="minorHAnsi"/>
                <w:color w:val="000000"/>
                <w:sz w:val="24"/>
                <w:szCs w:val="24"/>
                <w:lang w:val="en-US"/>
              </w:rPr>
              <w:t>ροσω</w:t>
            </w:r>
            <w:proofErr w:type="spellEnd"/>
            <w:r w:rsidRPr="007A3A82">
              <w:rPr>
                <w:rFonts w:eastAsia="Times New Roman" w:cstheme="minorHAnsi"/>
                <w:color w:val="000000"/>
                <w:sz w:val="24"/>
                <w:szCs w:val="24"/>
                <w:lang w:val="en-US"/>
              </w:rPr>
              <w:t>πικό</w:t>
            </w:r>
          </w:p>
        </w:tc>
        <w:tc>
          <w:tcPr>
            <w:tcW w:w="844" w:type="pct"/>
            <w:tcBorders>
              <w:top w:val="nil"/>
              <w:left w:val="nil"/>
              <w:bottom w:val="single" w:sz="4" w:space="0" w:color="auto"/>
              <w:right w:val="single" w:sz="12" w:space="0" w:color="auto"/>
            </w:tcBorders>
            <w:shd w:val="clear" w:color="auto" w:fill="auto"/>
            <w:noWrap/>
            <w:vAlign w:val="bottom"/>
            <w:hideMark/>
          </w:tcPr>
          <w:p w14:paraId="084AC739" w14:textId="50E8A861"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35</w:t>
            </w:r>
            <w:r w:rsidR="007A3A82" w:rsidRPr="007A3A82">
              <w:rPr>
                <w:rFonts w:eastAsia="Times New Roman" w:cstheme="minorHAnsi"/>
                <w:color w:val="000000"/>
                <w:sz w:val="24"/>
                <w:szCs w:val="24"/>
                <w:lang w:val="en-US"/>
              </w:rPr>
              <w:t>%</w:t>
            </w:r>
          </w:p>
        </w:tc>
      </w:tr>
      <w:tr w:rsidR="007A3A82" w:rsidRPr="007A3A82" w14:paraId="16F44F9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742D500"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9F2494C" w14:textId="6AE5D5C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1 άτομο</w:t>
            </w:r>
          </w:p>
        </w:tc>
        <w:tc>
          <w:tcPr>
            <w:tcW w:w="844" w:type="pct"/>
            <w:tcBorders>
              <w:top w:val="nil"/>
              <w:left w:val="nil"/>
              <w:bottom w:val="single" w:sz="4" w:space="0" w:color="auto"/>
              <w:right w:val="single" w:sz="12" w:space="0" w:color="auto"/>
            </w:tcBorders>
            <w:shd w:val="clear" w:color="auto" w:fill="auto"/>
            <w:noWrap/>
            <w:vAlign w:val="bottom"/>
            <w:hideMark/>
          </w:tcPr>
          <w:p w14:paraId="0EF2E2D2" w14:textId="23855B70"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17,5</w:t>
            </w:r>
            <w:r w:rsidR="007A3A82" w:rsidRPr="007A3A82">
              <w:rPr>
                <w:rFonts w:eastAsia="Times New Roman" w:cstheme="minorHAnsi"/>
                <w:color w:val="000000"/>
                <w:sz w:val="24"/>
                <w:szCs w:val="24"/>
                <w:lang w:val="en-US"/>
              </w:rPr>
              <w:t>%</w:t>
            </w:r>
          </w:p>
        </w:tc>
      </w:tr>
      <w:tr w:rsidR="007A3A82" w:rsidRPr="007A3A82" w14:paraId="04A1550F"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59DD0E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2653772" w14:textId="2FD9C831"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2-3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00CC2FF" w14:textId="667F551C"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20</w:t>
            </w:r>
            <w:r w:rsidR="000B2B5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439AC22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48CF3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41AD95" w14:textId="088B4819"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4-5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2AD0B65" w14:textId="32FFB971"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9,2</w:t>
            </w:r>
            <w:r w:rsidR="007A3A82" w:rsidRPr="007A3A82">
              <w:rPr>
                <w:rFonts w:eastAsia="Times New Roman" w:cstheme="minorHAnsi"/>
                <w:color w:val="000000"/>
                <w:sz w:val="24"/>
                <w:szCs w:val="24"/>
                <w:lang w:val="en-US"/>
              </w:rPr>
              <w:t>%</w:t>
            </w:r>
          </w:p>
        </w:tc>
      </w:tr>
      <w:tr w:rsidR="007A3A82" w:rsidRPr="007A3A82" w14:paraId="0B3BF08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316852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1FEB169" w14:textId="349B778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Πάνω από 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12E8E23D" w14:textId="2ECCE2D9"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17,9</w:t>
            </w:r>
            <w:r w:rsidR="007A3A82" w:rsidRPr="007A3A82">
              <w:rPr>
                <w:rFonts w:eastAsia="Times New Roman" w:cstheme="minorHAnsi"/>
                <w:color w:val="000000"/>
                <w:sz w:val="24"/>
                <w:szCs w:val="24"/>
                <w:lang w:val="en-US"/>
              </w:rPr>
              <w:t>%</w:t>
            </w:r>
          </w:p>
        </w:tc>
      </w:tr>
      <w:tr w:rsidR="007A3A82" w:rsidRPr="007A3A82" w14:paraId="54F08B50"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1586ADD4"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ΕΤΗΣΙΟΣ ΚΥΚΛΟΣ ΕΡΓΑΣΙΩΝ</w:t>
            </w:r>
          </w:p>
        </w:tc>
        <w:tc>
          <w:tcPr>
            <w:tcW w:w="1689" w:type="pct"/>
            <w:tcBorders>
              <w:top w:val="nil"/>
              <w:left w:val="nil"/>
              <w:bottom w:val="single" w:sz="4" w:space="0" w:color="auto"/>
              <w:right w:val="single" w:sz="4" w:space="0" w:color="auto"/>
            </w:tcBorders>
            <w:shd w:val="clear" w:color="auto" w:fill="auto"/>
            <w:noWrap/>
            <w:vAlign w:val="bottom"/>
            <w:hideMark/>
          </w:tcPr>
          <w:p w14:paraId="6AC7687E" w14:textId="77777777"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F0098BD" w14:textId="2743D4B8"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36,2</w:t>
            </w:r>
            <w:r w:rsidR="007A3A82" w:rsidRPr="007A3A82">
              <w:rPr>
                <w:rFonts w:eastAsia="Times New Roman" w:cstheme="minorHAnsi"/>
                <w:color w:val="000000"/>
                <w:sz w:val="24"/>
                <w:szCs w:val="24"/>
                <w:lang w:val="en-US"/>
              </w:rPr>
              <w:t>%</w:t>
            </w:r>
          </w:p>
        </w:tc>
      </w:tr>
      <w:tr w:rsidR="007A3A82" w:rsidRPr="007A3A82" w14:paraId="6DC5F48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B1D5142"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EC3189C"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 xml:space="preserve">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100.000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3D93E506" w14:textId="6CD1DC35"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20,5</w:t>
            </w:r>
            <w:r w:rsidR="007A3A82" w:rsidRPr="007A3A82">
              <w:rPr>
                <w:rFonts w:eastAsia="Times New Roman" w:cstheme="minorHAnsi"/>
                <w:color w:val="000000"/>
                <w:sz w:val="24"/>
                <w:szCs w:val="24"/>
                <w:lang w:val="en-US"/>
              </w:rPr>
              <w:t>%</w:t>
            </w:r>
          </w:p>
        </w:tc>
      </w:tr>
      <w:tr w:rsidR="007A3A82" w:rsidRPr="007A3A82" w14:paraId="23D50B0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E43386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3D7EBBC" w14:textId="3243732A"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100</w:t>
            </w:r>
            <w:r w:rsidR="00E226B6">
              <w:rPr>
                <w:rFonts w:eastAsia="Times New Roman" w:cstheme="minorHAnsi"/>
                <w:color w:val="000000"/>
                <w:sz w:val="24"/>
                <w:szCs w:val="24"/>
              </w:rPr>
              <w:t>.</w:t>
            </w:r>
            <w:r w:rsidRPr="007A3A82">
              <w:rPr>
                <w:rFonts w:eastAsia="Times New Roman" w:cstheme="minorHAnsi"/>
                <w:color w:val="000000"/>
                <w:sz w:val="24"/>
                <w:szCs w:val="24"/>
              </w:rPr>
              <w:t>001</w:t>
            </w:r>
            <w:r w:rsidRPr="00ED4052">
              <w:rPr>
                <w:rFonts w:eastAsia="Times New Roman" w:cstheme="minorHAnsi"/>
                <w:color w:val="000000"/>
                <w:sz w:val="24"/>
                <w:szCs w:val="24"/>
              </w:rPr>
              <w:t>-300.000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1D7B721A" w14:textId="524608BF" w:rsidR="007A3A82" w:rsidRPr="00ED4052" w:rsidRDefault="00D0357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18,6</w:t>
            </w:r>
            <w:r w:rsidR="007A3A82" w:rsidRPr="00ED4052">
              <w:rPr>
                <w:rFonts w:eastAsia="Times New Roman" w:cstheme="minorHAnsi"/>
                <w:color w:val="000000"/>
                <w:sz w:val="24"/>
                <w:szCs w:val="24"/>
              </w:rPr>
              <w:t>%</w:t>
            </w:r>
          </w:p>
        </w:tc>
      </w:tr>
      <w:tr w:rsidR="007A3A82" w:rsidRPr="007A3A82" w14:paraId="54C3813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F145B70"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0B04C05E"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300</w:t>
            </w:r>
            <w:r w:rsidRPr="007A3A82">
              <w:rPr>
                <w:rFonts w:eastAsia="Times New Roman" w:cstheme="minorHAnsi"/>
                <w:color w:val="000000"/>
                <w:sz w:val="24"/>
                <w:szCs w:val="24"/>
              </w:rPr>
              <w:t>.001</w:t>
            </w:r>
            <w:r w:rsidRPr="00ED4052">
              <w:rPr>
                <w:rFonts w:eastAsia="Times New Roman" w:cstheme="minorHAnsi"/>
                <w:color w:val="000000"/>
                <w:sz w:val="24"/>
                <w:szCs w:val="24"/>
              </w:rPr>
              <w:t>-500.000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5054801C" w14:textId="4D78A85F"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6,2</w:t>
            </w:r>
            <w:r w:rsidR="007A3A82" w:rsidRPr="00ED4052">
              <w:rPr>
                <w:rFonts w:eastAsia="Times New Roman" w:cstheme="minorHAnsi"/>
                <w:color w:val="000000"/>
                <w:sz w:val="24"/>
                <w:szCs w:val="24"/>
              </w:rPr>
              <w:t>%</w:t>
            </w:r>
          </w:p>
        </w:tc>
      </w:tr>
      <w:tr w:rsidR="007A3A82" w:rsidRPr="007A3A82" w14:paraId="10B88C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B413362"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F5D21F9"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500.00</w:t>
            </w:r>
            <w:r w:rsidRPr="007A3A82">
              <w:rPr>
                <w:rFonts w:eastAsia="Times New Roman" w:cstheme="minorHAnsi"/>
                <w:color w:val="000000"/>
                <w:sz w:val="24"/>
                <w:szCs w:val="24"/>
              </w:rPr>
              <w:t>1-</w:t>
            </w:r>
            <w:r w:rsidRPr="00ED4052">
              <w:rPr>
                <w:rFonts w:eastAsia="Times New Roman" w:cstheme="minorHAnsi"/>
                <w:color w:val="000000"/>
                <w:sz w:val="24"/>
                <w:szCs w:val="24"/>
              </w:rPr>
              <w:t>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2ED3288" w14:textId="3AB3E074"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r w:rsidR="00D03572">
              <w:rPr>
                <w:rFonts w:eastAsia="Times New Roman" w:cstheme="minorHAnsi"/>
                <w:color w:val="000000"/>
                <w:sz w:val="24"/>
                <w:szCs w:val="24"/>
              </w:rPr>
              <w:t>,6</w:t>
            </w:r>
            <w:r w:rsidR="007A3A82" w:rsidRPr="00ED4052">
              <w:rPr>
                <w:rFonts w:eastAsia="Times New Roman" w:cstheme="minorHAnsi"/>
                <w:color w:val="000000"/>
                <w:sz w:val="24"/>
                <w:szCs w:val="24"/>
              </w:rPr>
              <w:t>%</w:t>
            </w:r>
          </w:p>
        </w:tc>
      </w:tr>
      <w:tr w:rsidR="007A3A82" w:rsidRPr="007A3A82" w14:paraId="59585A5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3018F2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DDD5E80" w14:textId="606324BF" w:rsidR="007A3A82" w:rsidRPr="007A3A82" w:rsidRDefault="007A3A82" w:rsidP="007E0B5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Πάνω από 1.000.000</w:t>
            </w:r>
            <w:r w:rsidRPr="007A3A82">
              <w:rPr>
                <w:rFonts w:eastAsia="Times New Roman" w:cstheme="minorHAnsi"/>
                <w:color w:val="000000"/>
                <w:sz w:val="24"/>
                <w:szCs w:val="24"/>
              </w:rPr>
              <w:t xml:space="preserve"> </w:t>
            </w:r>
            <w:r w:rsidR="00E226B6">
              <w:rPr>
                <w:rFonts w:eastAsia="Times New Roman" w:cstheme="minorHAnsi"/>
                <w:color w:val="000000"/>
                <w:sz w:val="24"/>
                <w:szCs w:val="24"/>
              </w:rPr>
              <w:t>€</w:t>
            </w:r>
          </w:p>
        </w:tc>
        <w:tc>
          <w:tcPr>
            <w:tcW w:w="844" w:type="pct"/>
            <w:tcBorders>
              <w:top w:val="nil"/>
              <w:left w:val="nil"/>
              <w:bottom w:val="single" w:sz="4" w:space="0" w:color="auto"/>
              <w:right w:val="single" w:sz="12" w:space="0" w:color="auto"/>
            </w:tcBorders>
            <w:shd w:val="clear" w:color="auto" w:fill="auto"/>
            <w:noWrap/>
            <w:vAlign w:val="bottom"/>
            <w:hideMark/>
          </w:tcPr>
          <w:p w14:paraId="707F2917" w14:textId="1084DB01"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7,5</w:t>
            </w:r>
            <w:r w:rsidR="007A3A82" w:rsidRPr="00ED4052">
              <w:rPr>
                <w:rFonts w:eastAsia="Times New Roman" w:cstheme="minorHAnsi"/>
                <w:color w:val="000000"/>
                <w:sz w:val="24"/>
                <w:szCs w:val="24"/>
              </w:rPr>
              <w:t>%</w:t>
            </w:r>
          </w:p>
        </w:tc>
      </w:tr>
      <w:tr w:rsidR="007A3A82" w:rsidRPr="007A3A82" w14:paraId="334D741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D8E35D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43B42D1B" w14:textId="60A5D4B8" w:rsidR="007A3A82" w:rsidRPr="00ED405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723340E5" w14:textId="0A64E0D7"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6,4</w:t>
            </w:r>
            <w:r w:rsidR="007A3A82" w:rsidRPr="00ED4052">
              <w:rPr>
                <w:rFonts w:eastAsia="Times New Roman" w:cstheme="minorHAnsi"/>
                <w:color w:val="000000"/>
                <w:sz w:val="24"/>
                <w:szCs w:val="24"/>
              </w:rPr>
              <w:t>%</w:t>
            </w:r>
          </w:p>
        </w:tc>
      </w:tr>
      <w:tr w:rsidR="007A3A82" w:rsidRPr="007A3A82" w14:paraId="6F9EB3E0" w14:textId="77777777" w:rsidTr="007A3A82">
        <w:trPr>
          <w:trHeight w:val="288"/>
        </w:trPr>
        <w:tc>
          <w:tcPr>
            <w:tcW w:w="2466" w:type="pct"/>
            <w:vMerge w:val="restart"/>
            <w:tcBorders>
              <w:top w:val="nil"/>
              <w:left w:val="single" w:sz="12" w:space="0" w:color="auto"/>
              <w:bottom w:val="single" w:sz="12" w:space="0" w:color="000000"/>
              <w:right w:val="single" w:sz="4" w:space="0" w:color="auto"/>
            </w:tcBorders>
            <w:shd w:val="clear" w:color="D9E1F2" w:fill="D9E1F2"/>
            <w:vAlign w:val="center"/>
            <w:hideMark/>
          </w:tcPr>
          <w:p w14:paraId="3D6BB3EE" w14:textId="77777777" w:rsidR="007A3A82" w:rsidRPr="00ED4052" w:rsidRDefault="007A3A82" w:rsidP="00700BFC">
            <w:pPr>
              <w:spacing w:after="0" w:line="240" w:lineRule="auto"/>
              <w:jc w:val="center"/>
              <w:rPr>
                <w:rFonts w:eastAsia="Times New Roman" w:cstheme="minorHAnsi"/>
                <w:b/>
                <w:bCs/>
                <w:color w:val="000000"/>
                <w:sz w:val="24"/>
                <w:szCs w:val="24"/>
              </w:rPr>
            </w:pPr>
            <w:r w:rsidRPr="00ED4052">
              <w:rPr>
                <w:rFonts w:eastAsia="Times New Roman" w:cstheme="minorHAnsi"/>
                <w:b/>
                <w:bCs/>
                <w:color w:val="000000"/>
                <w:sz w:val="24"/>
                <w:szCs w:val="24"/>
              </w:rPr>
              <w:t>ΓΕΩΓΡΑΦΙΚΗ ΠΕΡΙΟΧΗ</w:t>
            </w:r>
          </w:p>
        </w:tc>
        <w:tc>
          <w:tcPr>
            <w:tcW w:w="1689" w:type="pct"/>
            <w:tcBorders>
              <w:top w:val="nil"/>
              <w:left w:val="nil"/>
              <w:bottom w:val="single" w:sz="4" w:space="0" w:color="auto"/>
              <w:right w:val="single" w:sz="4" w:space="0" w:color="auto"/>
            </w:tcBorders>
            <w:shd w:val="clear" w:color="auto" w:fill="auto"/>
            <w:noWrap/>
            <w:vAlign w:val="bottom"/>
            <w:hideMark/>
          </w:tcPr>
          <w:p w14:paraId="67E28AEC" w14:textId="77777777" w:rsidR="007A3A82" w:rsidRPr="00ED405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EL</w:t>
            </w:r>
            <w:r w:rsidRPr="00ED4052">
              <w:rPr>
                <w:rFonts w:eastAsia="Times New Roman" w:cstheme="minorHAnsi"/>
                <w:color w:val="000000"/>
                <w:sz w:val="24"/>
                <w:szCs w:val="24"/>
              </w:rPr>
              <w:t>3 ΑΤΤΙΚΗ</w:t>
            </w:r>
          </w:p>
        </w:tc>
        <w:tc>
          <w:tcPr>
            <w:tcW w:w="844" w:type="pct"/>
            <w:tcBorders>
              <w:top w:val="nil"/>
              <w:left w:val="nil"/>
              <w:bottom w:val="single" w:sz="4" w:space="0" w:color="auto"/>
              <w:right w:val="single" w:sz="12" w:space="0" w:color="auto"/>
            </w:tcBorders>
            <w:shd w:val="clear" w:color="auto" w:fill="auto"/>
            <w:noWrap/>
            <w:vAlign w:val="bottom"/>
            <w:hideMark/>
          </w:tcPr>
          <w:p w14:paraId="78F87B4A" w14:textId="69CA6F33" w:rsidR="007A3A82" w:rsidRPr="007A3A82" w:rsidRDefault="007E0B5C"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36,</w:t>
            </w:r>
            <w:r w:rsidR="000B2B5B">
              <w:rPr>
                <w:rFonts w:eastAsia="Times New Roman" w:cstheme="minorHAnsi"/>
                <w:color w:val="000000"/>
                <w:sz w:val="24"/>
                <w:szCs w:val="24"/>
              </w:rPr>
              <w:t>6</w:t>
            </w:r>
            <w:r w:rsidR="007A3A82" w:rsidRPr="007A3A82">
              <w:rPr>
                <w:rFonts w:eastAsia="Times New Roman" w:cstheme="minorHAnsi"/>
                <w:color w:val="000000"/>
                <w:sz w:val="24"/>
                <w:szCs w:val="24"/>
                <w:lang w:val="en-US"/>
              </w:rPr>
              <w:t>%</w:t>
            </w:r>
          </w:p>
        </w:tc>
      </w:tr>
      <w:tr w:rsidR="007A3A82" w:rsidRPr="007A3A82" w14:paraId="2400DBE3"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36678B1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D4FCEC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EL5 ΒΟΡΕΙΑ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39BD08A1" w14:textId="5EB974F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27,2</w:t>
            </w:r>
            <w:r w:rsidR="007A3A82" w:rsidRPr="007A3A82">
              <w:rPr>
                <w:rFonts w:eastAsia="Times New Roman" w:cstheme="minorHAnsi"/>
                <w:color w:val="000000"/>
                <w:sz w:val="24"/>
                <w:szCs w:val="24"/>
                <w:lang w:val="en-US"/>
              </w:rPr>
              <w:t>%</w:t>
            </w:r>
          </w:p>
        </w:tc>
      </w:tr>
      <w:tr w:rsidR="007A3A82" w:rsidRPr="007A3A82" w14:paraId="7A94878A"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50004D4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6A2B23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EL6 ΚΕΝΤΡΙΚΗ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1A9C55CE" w14:textId="38F7D397"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23,</w:t>
            </w:r>
            <w:r w:rsidR="000B2B5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7D8EC8A3" w14:textId="77777777" w:rsidTr="007A3A82">
        <w:trPr>
          <w:trHeight w:val="300"/>
        </w:trPr>
        <w:tc>
          <w:tcPr>
            <w:tcW w:w="2466" w:type="pct"/>
            <w:vMerge/>
            <w:tcBorders>
              <w:top w:val="nil"/>
              <w:left w:val="single" w:sz="12" w:space="0" w:color="auto"/>
              <w:bottom w:val="single" w:sz="12" w:space="0" w:color="000000"/>
              <w:right w:val="single" w:sz="4" w:space="0" w:color="auto"/>
            </w:tcBorders>
            <w:vAlign w:val="center"/>
            <w:hideMark/>
          </w:tcPr>
          <w:p w14:paraId="2F20B2D1"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12" w:space="0" w:color="auto"/>
              <w:right w:val="single" w:sz="4" w:space="0" w:color="auto"/>
            </w:tcBorders>
            <w:shd w:val="clear" w:color="auto" w:fill="auto"/>
            <w:noWrap/>
            <w:vAlign w:val="bottom"/>
            <w:hideMark/>
          </w:tcPr>
          <w:p w14:paraId="1478D52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EL4 ΝΗΣΙΑ ΑΙΓΑΙΟΥ &amp; ΚΡΗΤΗ</w:t>
            </w:r>
          </w:p>
        </w:tc>
        <w:tc>
          <w:tcPr>
            <w:tcW w:w="844" w:type="pct"/>
            <w:tcBorders>
              <w:top w:val="nil"/>
              <w:left w:val="nil"/>
              <w:bottom w:val="single" w:sz="12" w:space="0" w:color="auto"/>
              <w:right w:val="single" w:sz="12" w:space="0" w:color="auto"/>
            </w:tcBorders>
            <w:shd w:val="clear" w:color="auto" w:fill="auto"/>
            <w:noWrap/>
            <w:vAlign w:val="bottom"/>
            <w:hideMark/>
          </w:tcPr>
          <w:p w14:paraId="7A9692E8" w14:textId="0AD9C9F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bl>
    <w:p w14:paraId="69B406E1" w14:textId="77777777" w:rsidR="007A3A82" w:rsidRPr="007A3A82" w:rsidRDefault="007A3A82" w:rsidP="00700BFC">
      <w:pPr>
        <w:spacing w:after="0" w:line="360" w:lineRule="auto"/>
        <w:jc w:val="both"/>
        <w:rPr>
          <w:rFonts w:cstheme="minorHAnsi"/>
          <w:b/>
          <w:sz w:val="24"/>
          <w:szCs w:val="24"/>
          <w:u w:val="single"/>
        </w:rPr>
      </w:pPr>
    </w:p>
    <w:sectPr w:rsidR="007A3A82" w:rsidRPr="007A3A82" w:rsidSect="007A04DD">
      <w:headerReference w:type="default" r:id="rId29"/>
      <w:footerReference w:type="default" r:id="rId30"/>
      <w:pgSz w:w="11906" w:h="16838"/>
      <w:pgMar w:top="1745" w:right="566" w:bottom="993" w:left="851" w:header="426"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D081DB" w15:done="0"/>
  <w15:commentEx w15:paraId="3960A8B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7C5E0" w14:textId="77777777" w:rsidR="006D346D" w:rsidRDefault="006D346D" w:rsidP="00F23403">
      <w:pPr>
        <w:spacing w:after="0" w:line="240" w:lineRule="auto"/>
      </w:pPr>
      <w:r>
        <w:separator/>
      </w:r>
    </w:p>
  </w:endnote>
  <w:endnote w:type="continuationSeparator" w:id="0">
    <w:p w14:paraId="3057F3B5" w14:textId="77777777" w:rsidR="006D346D" w:rsidRDefault="006D346D" w:rsidP="00F2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752160"/>
      <w:docPartObj>
        <w:docPartGallery w:val="Page Numbers (Bottom of Page)"/>
        <w:docPartUnique/>
      </w:docPartObj>
    </w:sdtPr>
    <w:sdtEndPr/>
    <w:sdtContent>
      <w:p w14:paraId="5A4FE5C6" w14:textId="4E251404" w:rsidR="00BD5608" w:rsidRDefault="00BD5608">
        <w:pPr>
          <w:pStyle w:val="a6"/>
          <w:jc w:val="right"/>
        </w:pPr>
        <w:r>
          <w:fldChar w:fldCharType="begin"/>
        </w:r>
        <w:r>
          <w:instrText>PAGE   \* MERGEFORMAT</w:instrText>
        </w:r>
        <w:r>
          <w:fldChar w:fldCharType="separate"/>
        </w:r>
        <w:r w:rsidR="00033B51">
          <w:rPr>
            <w:noProof/>
          </w:rPr>
          <w:t>3</w:t>
        </w:r>
        <w:r>
          <w:fldChar w:fldCharType="end"/>
        </w:r>
      </w:p>
    </w:sdtContent>
  </w:sdt>
  <w:p w14:paraId="462EC6A7" w14:textId="77777777" w:rsidR="00BD5608" w:rsidRDefault="00BD560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58AF5" w14:textId="77777777" w:rsidR="006D346D" w:rsidRDefault="006D346D" w:rsidP="00F23403">
      <w:pPr>
        <w:spacing w:after="0" w:line="240" w:lineRule="auto"/>
      </w:pPr>
      <w:r>
        <w:separator/>
      </w:r>
    </w:p>
  </w:footnote>
  <w:footnote w:type="continuationSeparator" w:id="0">
    <w:p w14:paraId="49C3CFAE" w14:textId="77777777" w:rsidR="006D346D" w:rsidRDefault="006D346D" w:rsidP="00F23403">
      <w:pPr>
        <w:spacing w:after="0" w:line="240" w:lineRule="auto"/>
      </w:pPr>
      <w:r>
        <w:continuationSeparator/>
      </w:r>
    </w:p>
  </w:footnote>
  <w:footnote w:id="1">
    <w:p w14:paraId="58693D8C" w14:textId="0FFB96AA" w:rsidR="00BD5608" w:rsidRPr="001E0D9A" w:rsidRDefault="00BD5608" w:rsidP="00CC6E2A">
      <w:pPr>
        <w:spacing w:after="0" w:line="360" w:lineRule="auto"/>
        <w:jc w:val="both"/>
        <w:rPr>
          <w:rFonts w:ascii="Times New Roman" w:hAnsi="Times New Roman" w:cs="Times New Roman"/>
          <w:sz w:val="16"/>
          <w:szCs w:val="16"/>
        </w:rPr>
      </w:pPr>
      <w:r w:rsidRPr="00B841AC">
        <w:rPr>
          <w:rStyle w:val="a9"/>
        </w:rPr>
        <w:footnoteRef/>
      </w:r>
      <w:r w:rsidRPr="00B841AC">
        <w:t xml:space="preserve"> </w:t>
      </w:r>
      <w:r w:rsidRPr="001E0D9A">
        <w:rPr>
          <w:sz w:val="16"/>
          <w:szCs w:val="16"/>
        </w:rPr>
        <w:t xml:space="preserve">Οι σχετικές έρευνες του ΙΜΕ ΓΣΕΒΕΕ έχουν ως βασικό στόχο την αποτύπωση του οικονομικού κλίματος στις πολύ μικρές και μικρές επιχειρήσεις, στους κλάδους της μεταποίησης, του εμπορίου και των υπηρεσιών, που αποτελούν το 99,6% των επιχειρήσεων στην Ελλάδα. Τα ευρήματα της έρευνας μπορούν να συγκριθούν με τα αντίστοιχα των προηγούμενων ερευνών </w:t>
      </w:r>
      <w:r w:rsidRPr="00C6281E">
        <w:rPr>
          <w:sz w:val="16"/>
          <w:szCs w:val="16"/>
        </w:rPr>
        <w:t>(Μάιος 2009 – Φεβρουάριος 2023). Οι</w:t>
      </w:r>
      <w:r w:rsidRPr="001E0D9A">
        <w:rPr>
          <w:sz w:val="16"/>
          <w:szCs w:val="16"/>
        </w:rPr>
        <w:t xml:space="preserve"> έρευνες αυτές αποτελούν</w:t>
      </w:r>
      <w:r w:rsidRPr="005A25E4">
        <w:rPr>
          <w:sz w:val="16"/>
          <w:szCs w:val="16"/>
        </w:rPr>
        <w:t xml:space="preserve"> </w:t>
      </w:r>
      <w:r w:rsidRPr="001E0D9A">
        <w:rPr>
          <w:sz w:val="16"/>
          <w:szCs w:val="16"/>
        </w:rPr>
        <w:t xml:space="preserve">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Τα πρωτογενή δεδομένα </w:t>
      </w:r>
      <w:r>
        <w:rPr>
          <w:sz w:val="16"/>
          <w:szCs w:val="16"/>
        </w:rPr>
        <w:t>των ερευνών</w:t>
      </w:r>
      <w:r w:rsidRPr="001E0D9A">
        <w:rPr>
          <w:sz w:val="16"/>
          <w:szCs w:val="16"/>
        </w:rPr>
        <w:t xml:space="preserve"> χρησιμοποιούνται από την Ευρωπαϊκή Συνομοσπονδία</w:t>
      </w:r>
      <w:r w:rsidR="00E15AAA" w:rsidRPr="00E15AAA">
        <w:rPr>
          <w:sz w:val="16"/>
          <w:szCs w:val="16"/>
        </w:rPr>
        <w:t xml:space="preserve"> </w:t>
      </w:r>
      <w:r w:rsidR="00E15AAA">
        <w:rPr>
          <w:sz w:val="16"/>
          <w:szCs w:val="16"/>
        </w:rPr>
        <w:t>Βιοτεχνικών και</w:t>
      </w:r>
      <w:r w:rsidRPr="001E0D9A">
        <w:rPr>
          <w:sz w:val="16"/>
          <w:szCs w:val="16"/>
        </w:rPr>
        <w:t xml:space="preserve"> Μικρομεσαί</w:t>
      </w:r>
      <w:r>
        <w:rPr>
          <w:sz w:val="16"/>
          <w:szCs w:val="16"/>
        </w:rPr>
        <w:t>ων Επιχειρήσεων (SME</w:t>
      </w:r>
      <w:r>
        <w:rPr>
          <w:sz w:val="16"/>
          <w:szCs w:val="16"/>
          <w:lang w:val="en-US"/>
        </w:rPr>
        <w:t>u</w:t>
      </w:r>
      <w:proofErr w:type="spellStart"/>
      <w:r w:rsidRPr="001E0D9A">
        <w:rPr>
          <w:sz w:val="16"/>
          <w:szCs w:val="16"/>
        </w:rPr>
        <w:t>nited</w:t>
      </w:r>
      <w:proofErr w:type="spellEnd"/>
      <w:r w:rsidRPr="001E0D9A">
        <w:rPr>
          <w:sz w:val="16"/>
          <w:szCs w:val="16"/>
        </w:rPr>
        <w:t xml:space="preserve">) για την κατασκευή των δεικτών ευρωπαϊκού οικονομικού κλίματος και είναι συγκρίσιμα με τα στοιχεία άλλων χωρών της ΕΕ.  </w:t>
      </w:r>
    </w:p>
    <w:p w14:paraId="586B123A" w14:textId="77777777" w:rsidR="00BD5608" w:rsidRDefault="00BD5608" w:rsidP="00CC6E2A">
      <w:pPr>
        <w:pStyle w:val="a8"/>
      </w:pPr>
    </w:p>
  </w:footnote>
  <w:footnote w:id="2">
    <w:p w14:paraId="2D7F7B8A" w14:textId="20802D4B" w:rsidR="00BD5608" w:rsidRPr="00676521" w:rsidRDefault="00BD5608" w:rsidP="00C70C53">
      <w:pPr>
        <w:pStyle w:val="a8"/>
      </w:pPr>
      <w:r>
        <w:rPr>
          <w:rStyle w:val="a9"/>
        </w:rPr>
        <w:footnoteRef/>
      </w:r>
      <w:r>
        <w:t xml:space="preserve"> ΕΛΣΤΑΤ: </w:t>
      </w:r>
      <w:r w:rsidRPr="007354DB">
        <w:t>Σύνολο Επιχειρήσεων Ελληνικής Οικονομίας</w:t>
      </w:r>
      <w:r w:rsidRPr="00BD5608">
        <w:t xml:space="preserve">, </w:t>
      </w:r>
      <w:r>
        <w:rPr>
          <w:lang w:val="en-US"/>
        </w:rPr>
        <w:t>URL</w:t>
      </w:r>
      <w:r w:rsidRPr="00BD5608">
        <w:t>:</w:t>
      </w:r>
      <w:r>
        <w:t xml:space="preserve"> </w:t>
      </w:r>
      <w:hyperlink r:id="rId1" w:history="1">
        <w:r w:rsidRPr="008F2DAA">
          <w:rPr>
            <w:rStyle w:val="-"/>
          </w:rPr>
          <w:t>https://www.statistics.gr/el/statistics/-/publication/SBR07/-</w:t>
        </w:r>
      </w:hyperlink>
      <w:r w:rsidRPr="00BD5608">
        <w:t>.</w:t>
      </w:r>
    </w:p>
  </w:footnote>
  <w:footnote w:id="3">
    <w:p w14:paraId="237CAE06" w14:textId="705659D4" w:rsidR="00BD5608" w:rsidRPr="00265C8F" w:rsidRDefault="00BD5608" w:rsidP="00612E62">
      <w:pPr>
        <w:pStyle w:val="a8"/>
        <w:jc w:val="both"/>
      </w:pPr>
      <w:r>
        <w:rPr>
          <w:rStyle w:val="a9"/>
        </w:rPr>
        <w:footnoteRef/>
      </w:r>
      <w:r w:rsidRPr="00265C8F">
        <w:t xml:space="preserve"> </w:t>
      </w:r>
      <w:r>
        <w:t>Τα ποσοστά των επιχειρήσεων οι οποίες στις έρευνες του ΙΜΕ ΓΣΕΒΕΕ δηλώνουν πως το επόμενο διάστημα είναι πολύ ή αρκετά πιθανό να διακόψουν τη δραστηριότητά τους συνιστούν τον δείκτη αβεβαιότητας.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4D937" w14:textId="77777777" w:rsidR="00BD5608" w:rsidRDefault="00BD5608">
    <w:pPr>
      <w:pStyle w:val="a5"/>
    </w:pPr>
    <w:r>
      <w:rPr>
        <w:noProof/>
      </w:rPr>
      <w:drawing>
        <wp:inline distT="0" distB="0" distL="0" distR="0" wp14:anchorId="4F72206F" wp14:editId="685322C1">
          <wp:extent cx="1579155" cy="594360"/>
          <wp:effectExtent l="0" t="0" r="2540" b="0"/>
          <wp:docPr id="3"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1"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76" cy="5962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3833"/>
    <w:multiLevelType w:val="hybridMultilevel"/>
    <w:tmpl w:val="85A6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E447808"/>
    <w:multiLevelType w:val="hybridMultilevel"/>
    <w:tmpl w:val="16F647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14095C"/>
    <w:multiLevelType w:val="hybridMultilevel"/>
    <w:tmpl w:val="6F72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934D10"/>
    <w:multiLevelType w:val="hybridMultilevel"/>
    <w:tmpl w:val="D82002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76D39F6"/>
    <w:multiLevelType w:val="hybridMultilevel"/>
    <w:tmpl w:val="95EA9CA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5">
    <w:nsid w:val="42834CDB"/>
    <w:multiLevelType w:val="hybridMultilevel"/>
    <w:tmpl w:val="E40AF79E"/>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6">
    <w:nsid w:val="46CA6873"/>
    <w:multiLevelType w:val="hybridMultilevel"/>
    <w:tmpl w:val="80B08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74B59A3"/>
    <w:multiLevelType w:val="hybridMultilevel"/>
    <w:tmpl w:val="35A8FD54"/>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4B8B5DED"/>
    <w:multiLevelType w:val="hybridMultilevel"/>
    <w:tmpl w:val="3EDE59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55C94502"/>
    <w:multiLevelType w:val="hybridMultilevel"/>
    <w:tmpl w:val="44D4E26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57F10F5E"/>
    <w:multiLevelType w:val="hybridMultilevel"/>
    <w:tmpl w:val="CDF6E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585B58D1"/>
    <w:multiLevelType w:val="hybridMultilevel"/>
    <w:tmpl w:val="100842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4D29ED"/>
    <w:multiLevelType w:val="hybridMultilevel"/>
    <w:tmpl w:val="7528DA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612E785D"/>
    <w:multiLevelType w:val="hybridMultilevel"/>
    <w:tmpl w:val="8AECE9A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65886361"/>
    <w:multiLevelType w:val="hybridMultilevel"/>
    <w:tmpl w:val="79925648"/>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65FD76D5"/>
    <w:multiLevelType w:val="hybridMultilevel"/>
    <w:tmpl w:val="56F2078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DBE5FD7"/>
    <w:multiLevelType w:val="hybridMultilevel"/>
    <w:tmpl w:val="079C406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7492678C"/>
    <w:multiLevelType w:val="hybridMultilevel"/>
    <w:tmpl w:val="644668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79050F12"/>
    <w:multiLevelType w:val="hybridMultilevel"/>
    <w:tmpl w:val="B34CE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7A5141AF"/>
    <w:multiLevelType w:val="hybridMultilevel"/>
    <w:tmpl w:val="23CA5C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6"/>
  </w:num>
  <w:num w:numId="4">
    <w:abstractNumId w:val="13"/>
  </w:num>
  <w:num w:numId="5">
    <w:abstractNumId w:val="3"/>
  </w:num>
  <w:num w:numId="6">
    <w:abstractNumId w:val="0"/>
  </w:num>
  <w:num w:numId="7">
    <w:abstractNumId w:val="18"/>
  </w:num>
  <w:num w:numId="8">
    <w:abstractNumId w:val="2"/>
  </w:num>
  <w:num w:numId="9">
    <w:abstractNumId w:val="15"/>
  </w:num>
  <w:num w:numId="10">
    <w:abstractNumId w:val="11"/>
  </w:num>
  <w:num w:numId="11">
    <w:abstractNumId w:val="12"/>
  </w:num>
  <w:num w:numId="12">
    <w:abstractNumId w:val="5"/>
  </w:num>
  <w:num w:numId="13">
    <w:abstractNumId w:val="1"/>
  </w:num>
  <w:num w:numId="14">
    <w:abstractNumId w:val="4"/>
  </w:num>
  <w:num w:numId="15">
    <w:abstractNumId w:val="16"/>
  </w:num>
  <w:num w:numId="16">
    <w:abstractNumId w:val="14"/>
  </w:num>
  <w:num w:numId="17">
    <w:abstractNumId w:val="9"/>
  </w:num>
  <w:num w:numId="18">
    <w:abstractNumId w:val="19"/>
  </w:num>
  <w:num w:numId="19">
    <w:abstractNumId w:val="8"/>
  </w:num>
  <w:num w:numId="20">
    <w:abstractNumId w:val="7"/>
  </w:num>
  <w:numIdMacAtCleanup w:val="1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συγγραφέας">
    <w15:presenceInfo w15:providerId="None" w15:userId="συγγραφέας"/>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B49"/>
    <w:rsid w:val="00015383"/>
    <w:rsid w:val="00015C14"/>
    <w:rsid w:val="00016444"/>
    <w:rsid w:val="0002081A"/>
    <w:rsid w:val="0002135A"/>
    <w:rsid w:val="000215EF"/>
    <w:rsid w:val="00023631"/>
    <w:rsid w:val="00023FE7"/>
    <w:rsid w:val="000255FA"/>
    <w:rsid w:val="00027698"/>
    <w:rsid w:val="0003191B"/>
    <w:rsid w:val="0003359C"/>
    <w:rsid w:val="00033B51"/>
    <w:rsid w:val="00037803"/>
    <w:rsid w:val="000400B4"/>
    <w:rsid w:val="000403D3"/>
    <w:rsid w:val="00041588"/>
    <w:rsid w:val="00041A60"/>
    <w:rsid w:val="00046494"/>
    <w:rsid w:val="000479BF"/>
    <w:rsid w:val="00051111"/>
    <w:rsid w:val="00054E96"/>
    <w:rsid w:val="00062E8B"/>
    <w:rsid w:val="0006383E"/>
    <w:rsid w:val="000667F7"/>
    <w:rsid w:val="00074CC2"/>
    <w:rsid w:val="00074D20"/>
    <w:rsid w:val="00081D45"/>
    <w:rsid w:val="0008588D"/>
    <w:rsid w:val="000877BB"/>
    <w:rsid w:val="00090427"/>
    <w:rsid w:val="000908CF"/>
    <w:rsid w:val="00092A0E"/>
    <w:rsid w:val="000A0109"/>
    <w:rsid w:val="000A354D"/>
    <w:rsid w:val="000A4F4A"/>
    <w:rsid w:val="000A5F7A"/>
    <w:rsid w:val="000B2B5B"/>
    <w:rsid w:val="000B3804"/>
    <w:rsid w:val="000B65DB"/>
    <w:rsid w:val="000B6F85"/>
    <w:rsid w:val="000C0D8F"/>
    <w:rsid w:val="000C5EC9"/>
    <w:rsid w:val="000D4E07"/>
    <w:rsid w:val="000D7264"/>
    <w:rsid w:val="000E224C"/>
    <w:rsid w:val="000E2896"/>
    <w:rsid w:val="000E45C7"/>
    <w:rsid w:val="000E62CA"/>
    <w:rsid w:val="000E72AC"/>
    <w:rsid w:val="000E7749"/>
    <w:rsid w:val="000F0443"/>
    <w:rsid w:val="000F2966"/>
    <w:rsid w:val="000F2CA5"/>
    <w:rsid w:val="000F6054"/>
    <w:rsid w:val="001009CB"/>
    <w:rsid w:val="0010421B"/>
    <w:rsid w:val="00105D13"/>
    <w:rsid w:val="00106AC7"/>
    <w:rsid w:val="001121DE"/>
    <w:rsid w:val="0011287B"/>
    <w:rsid w:val="0011771B"/>
    <w:rsid w:val="00122982"/>
    <w:rsid w:val="00125948"/>
    <w:rsid w:val="00130335"/>
    <w:rsid w:val="0013445F"/>
    <w:rsid w:val="00136AA0"/>
    <w:rsid w:val="00140CE7"/>
    <w:rsid w:val="001414F9"/>
    <w:rsid w:val="0014152E"/>
    <w:rsid w:val="001453F2"/>
    <w:rsid w:val="0014640F"/>
    <w:rsid w:val="001468D1"/>
    <w:rsid w:val="0015182B"/>
    <w:rsid w:val="001548FD"/>
    <w:rsid w:val="00155A32"/>
    <w:rsid w:val="0016123E"/>
    <w:rsid w:val="00162FEF"/>
    <w:rsid w:val="00166FA5"/>
    <w:rsid w:val="001717FC"/>
    <w:rsid w:val="0018040C"/>
    <w:rsid w:val="0018451F"/>
    <w:rsid w:val="00185A49"/>
    <w:rsid w:val="001908F9"/>
    <w:rsid w:val="00192DC6"/>
    <w:rsid w:val="00192FC3"/>
    <w:rsid w:val="00195281"/>
    <w:rsid w:val="00195BF7"/>
    <w:rsid w:val="001963EF"/>
    <w:rsid w:val="001968A1"/>
    <w:rsid w:val="0019755E"/>
    <w:rsid w:val="001A2EAF"/>
    <w:rsid w:val="001A3099"/>
    <w:rsid w:val="001A4FBC"/>
    <w:rsid w:val="001B2706"/>
    <w:rsid w:val="001C04F9"/>
    <w:rsid w:val="001C2D68"/>
    <w:rsid w:val="001C30A7"/>
    <w:rsid w:val="001C3C25"/>
    <w:rsid w:val="001C4593"/>
    <w:rsid w:val="001C495D"/>
    <w:rsid w:val="001C5D1E"/>
    <w:rsid w:val="001D2296"/>
    <w:rsid w:val="001D3D49"/>
    <w:rsid w:val="001D4F89"/>
    <w:rsid w:val="001E0D9A"/>
    <w:rsid w:val="001E5692"/>
    <w:rsid w:val="001E621F"/>
    <w:rsid w:val="001F00CB"/>
    <w:rsid w:val="001F6664"/>
    <w:rsid w:val="001F7EF1"/>
    <w:rsid w:val="00200E6D"/>
    <w:rsid w:val="00202A95"/>
    <w:rsid w:val="00206EE1"/>
    <w:rsid w:val="00207662"/>
    <w:rsid w:val="00210568"/>
    <w:rsid w:val="00213076"/>
    <w:rsid w:val="00213CB2"/>
    <w:rsid w:val="002226A1"/>
    <w:rsid w:val="00225BB8"/>
    <w:rsid w:val="002278CA"/>
    <w:rsid w:val="00233A5F"/>
    <w:rsid w:val="002365A2"/>
    <w:rsid w:val="0023753F"/>
    <w:rsid w:val="00241114"/>
    <w:rsid w:val="002457B3"/>
    <w:rsid w:val="00246AE9"/>
    <w:rsid w:val="00246D97"/>
    <w:rsid w:val="00246EBD"/>
    <w:rsid w:val="00252551"/>
    <w:rsid w:val="00252618"/>
    <w:rsid w:val="00261E45"/>
    <w:rsid w:val="00266760"/>
    <w:rsid w:val="002748BA"/>
    <w:rsid w:val="002766C3"/>
    <w:rsid w:val="00285602"/>
    <w:rsid w:val="00287582"/>
    <w:rsid w:val="00287D05"/>
    <w:rsid w:val="0029050F"/>
    <w:rsid w:val="002928CC"/>
    <w:rsid w:val="002933A1"/>
    <w:rsid w:val="002941C9"/>
    <w:rsid w:val="00295DC5"/>
    <w:rsid w:val="002A29B5"/>
    <w:rsid w:val="002A2F09"/>
    <w:rsid w:val="002A3C1F"/>
    <w:rsid w:val="002A4E28"/>
    <w:rsid w:val="002A6188"/>
    <w:rsid w:val="002B4692"/>
    <w:rsid w:val="002B4A61"/>
    <w:rsid w:val="002B7A63"/>
    <w:rsid w:val="002B7D15"/>
    <w:rsid w:val="002C0C86"/>
    <w:rsid w:val="002C2612"/>
    <w:rsid w:val="002C362D"/>
    <w:rsid w:val="002C4033"/>
    <w:rsid w:val="002C623E"/>
    <w:rsid w:val="002C7173"/>
    <w:rsid w:val="002D492B"/>
    <w:rsid w:val="002E084A"/>
    <w:rsid w:val="002F0FE4"/>
    <w:rsid w:val="002F1322"/>
    <w:rsid w:val="002F2829"/>
    <w:rsid w:val="002F4A1D"/>
    <w:rsid w:val="00300300"/>
    <w:rsid w:val="00305349"/>
    <w:rsid w:val="003072D7"/>
    <w:rsid w:val="00307913"/>
    <w:rsid w:val="0031121B"/>
    <w:rsid w:val="00323841"/>
    <w:rsid w:val="00325572"/>
    <w:rsid w:val="00326C2A"/>
    <w:rsid w:val="00326F61"/>
    <w:rsid w:val="00327B49"/>
    <w:rsid w:val="00336DCC"/>
    <w:rsid w:val="003401D3"/>
    <w:rsid w:val="00340910"/>
    <w:rsid w:val="0034625D"/>
    <w:rsid w:val="0035136C"/>
    <w:rsid w:val="00352171"/>
    <w:rsid w:val="00352BE5"/>
    <w:rsid w:val="00361349"/>
    <w:rsid w:val="003653AC"/>
    <w:rsid w:val="003659C2"/>
    <w:rsid w:val="00367746"/>
    <w:rsid w:val="0037309D"/>
    <w:rsid w:val="0037363C"/>
    <w:rsid w:val="003812C9"/>
    <w:rsid w:val="00381D75"/>
    <w:rsid w:val="00382337"/>
    <w:rsid w:val="00385C77"/>
    <w:rsid w:val="0038756A"/>
    <w:rsid w:val="003875E8"/>
    <w:rsid w:val="00387F63"/>
    <w:rsid w:val="0039279C"/>
    <w:rsid w:val="00397C48"/>
    <w:rsid w:val="003A217F"/>
    <w:rsid w:val="003A5178"/>
    <w:rsid w:val="003B2BE0"/>
    <w:rsid w:val="003B427B"/>
    <w:rsid w:val="003B4DD8"/>
    <w:rsid w:val="003B5CAF"/>
    <w:rsid w:val="003C3D8E"/>
    <w:rsid w:val="003C6BD7"/>
    <w:rsid w:val="003D3C63"/>
    <w:rsid w:val="003D4017"/>
    <w:rsid w:val="003D5ACF"/>
    <w:rsid w:val="003F5FFF"/>
    <w:rsid w:val="003F7C4E"/>
    <w:rsid w:val="0040176E"/>
    <w:rsid w:val="004047A2"/>
    <w:rsid w:val="0040656C"/>
    <w:rsid w:val="00411603"/>
    <w:rsid w:val="00412676"/>
    <w:rsid w:val="00413397"/>
    <w:rsid w:val="00413CE5"/>
    <w:rsid w:val="0042536B"/>
    <w:rsid w:val="004263F1"/>
    <w:rsid w:val="00426812"/>
    <w:rsid w:val="00435434"/>
    <w:rsid w:val="00436C8A"/>
    <w:rsid w:val="00437B11"/>
    <w:rsid w:val="004402D9"/>
    <w:rsid w:val="0044137A"/>
    <w:rsid w:val="004503F8"/>
    <w:rsid w:val="004506BF"/>
    <w:rsid w:val="0045324D"/>
    <w:rsid w:val="004572FD"/>
    <w:rsid w:val="004605A4"/>
    <w:rsid w:val="00462630"/>
    <w:rsid w:val="0047006E"/>
    <w:rsid w:val="00470A09"/>
    <w:rsid w:val="004715A0"/>
    <w:rsid w:val="00473C01"/>
    <w:rsid w:val="00474182"/>
    <w:rsid w:val="004771F2"/>
    <w:rsid w:val="0048143F"/>
    <w:rsid w:val="00481589"/>
    <w:rsid w:val="004817B6"/>
    <w:rsid w:val="00486214"/>
    <w:rsid w:val="00486726"/>
    <w:rsid w:val="00486BA5"/>
    <w:rsid w:val="004929E5"/>
    <w:rsid w:val="004936D1"/>
    <w:rsid w:val="00493702"/>
    <w:rsid w:val="004965B0"/>
    <w:rsid w:val="004A3CA2"/>
    <w:rsid w:val="004B0815"/>
    <w:rsid w:val="004B4757"/>
    <w:rsid w:val="004B7758"/>
    <w:rsid w:val="004C1003"/>
    <w:rsid w:val="004C314C"/>
    <w:rsid w:val="004C6D21"/>
    <w:rsid w:val="004D130D"/>
    <w:rsid w:val="004D4651"/>
    <w:rsid w:val="004D7285"/>
    <w:rsid w:val="004D7672"/>
    <w:rsid w:val="004E11B6"/>
    <w:rsid w:val="004E366C"/>
    <w:rsid w:val="004F3EE6"/>
    <w:rsid w:val="005019FE"/>
    <w:rsid w:val="00516689"/>
    <w:rsid w:val="00526D7A"/>
    <w:rsid w:val="0052763F"/>
    <w:rsid w:val="00535DD5"/>
    <w:rsid w:val="00540E4B"/>
    <w:rsid w:val="00547A9B"/>
    <w:rsid w:val="0055217A"/>
    <w:rsid w:val="005547E8"/>
    <w:rsid w:val="005549E1"/>
    <w:rsid w:val="005601DF"/>
    <w:rsid w:val="0056072B"/>
    <w:rsid w:val="00562C62"/>
    <w:rsid w:val="00580676"/>
    <w:rsid w:val="00585E65"/>
    <w:rsid w:val="00590590"/>
    <w:rsid w:val="0059068E"/>
    <w:rsid w:val="00591872"/>
    <w:rsid w:val="00592826"/>
    <w:rsid w:val="00593889"/>
    <w:rsid w:val="0059632C"/>
    <w:rsid w:val="005967DE"/>
    <w:rsid w:val="00596FDF"/>
    <w:rsid w:val="005A03DD"/>
    <w:rsid w:val="005A04C7"/>
    <w:rsid w:val="005A25E4"/>
    <w:rsid w:val="005A2E25"/>
    <w:rsid w:val="005A61C6"/>
    <w:rsid w:val="005B46CD"/>
    <w:rsid w:val="005B6CB0"/>
    <w:rsid w:val="005C4B00"/>
    <w:rsid w:val="005C51DE"/>
    <w:rsid w:val="005C570E"/>
    <w:rsid w:val="005D0CB1"/>
    <w:rsid w:val="005D1BC3"/>
    <w:rsid w:val="005D2E35"/>
    <w:rsid w:val="005D40E0"/>
    <w:rsid w:val="005E2CEF"/>
    <w:rsid w:val="005E5556"/>
    <w:rsid w:val="005E5FA9"/>
    <w:rsid w:val="0060315A"/>
    <w:rsid w:val="006043B9"/>
    <w:rsid w:val="00604FAD"/>
    <w:rsid w:val="0061088B"/>
    <w:rsid w:val="006129F5"/>
    <w:rsid w:val="00612B92"/>
    <w:rsid w:val="00612E62"/>
    <w:rsid w:val="00615EE1"/>
    <w:rsid w:val="00617884"/>
    <w:rsid w:val="0062007B"/>
    <w:rsid w:val="0062628A"/>
    <w:rsid w:val="0062713A"/>
    <w:rsid w:val="00635E94"/>
    <w:rsid w:val="006362C8"/>
    <w:rsid w:val="00636F36"/>
    <w:rsid w:val="00642CF7"/>
    <w:rsid w:val="006455A6"/>
    <w:rsid w:val="00645FBA"/>
    <w:rsid w:val="00646CC1"/>
    <w:rsid w:val="0065621A"/>
    <w:rsid w:val="00660191"/>
    <w:rsid w:val="006636D0"/>
    <w:rsid w:val="006666AA"/>
    <w:rsid w:val="00676521"/>
    <w:rsid w:val="00676D0F"/>
    <w:rsid w:val="006837EA"/>
    <w:rsid w:val="00685E13"/>
    <w:rsid w:val="00695DA7"/>
    <w:rsid w:val="00695ECB"/>
    <w:rsid w:val="00697136"/>
    <w:rsid w:val="006A7202"/>
    <w:rsid w:val="006B4F4F"/>
    <w:rsid w:val="006C0631"/>
    <w:rsid w:val="006C5D62"/>
    <w:rsid w:val="006D1D4C"/>
    <w:rsid w:val="006D346D"/>
    <w:rsid w:val="006D4815"/>
    <w:rsid w:val="006F0645"/>
    <w:rsid w:val="006F0B11"/>
    <w:rsid w:val="006F119E"/>
    <w:rsid w:val="006F6758"/>
    <w:rsid w:val="00700BFC"/>
    <w:rsid w:val="00704A66"/>
    <w:rsid w:val="00712034"/>
    <w:rsid w:val="0071259F"/>
    <w:rsid w:val="0071365A"/>
    <w:rsid w:val="00713786"/>
    <w:rsid w:val="00713BEB"/>
    <w:rsid w:val="00713E21"/>
    <w:rsid w:val="007149DC"/>
    <w:rsid w:val="007202BB"/>
    <w:rsid w:val="00723DC9"/>
    <w:rsid w:val="00726D4B"/>
    <w:rsid w:val="00726FDE"/>
    <w:rsid w:val="007275AA"/>
    <w:rsid w:val="007354DB"/>
    <w:rsid w:val="007358A2"/>
    <w:rsid w:val="00737D23"/>
    <w:rsid w:val="0074169D"/>
    <w:rsid w:val="00744551"/>
    <w:rsid w:val="007477B1"/>
    <w:rsid w:val="00754214"/>
    <w:rsid w:val="00754D44"/>
    <w:rsid w:val="00755F53"/>
    <w:rsid w:val="00761F11"/>
    <w:rsid w:val="007646B2"/>
    <w:rsid w:val="00766427"/>
    <w:rsid w:val="00766B6A"/>
    <w:rsid w:val="00770CD4"/>
    <w:rsid w:val="0077375A"/>
    <w:rsid w:val="00773D69"/>
    <w:rsid w:val="00782780"/>
    <w:rsid w:val="00786F03"/>
    <w:rsid w:val="007878C4"/>
    <w:rsid w:val="00790AC0"/>
    <w:rsid w:val="007915B9"/>
    <w:rsid w:val="0079357C"/>
    <w:rsid w:val="007A04DD"/>
    <w:rsid w:val="007A0614"/>
    <w:rsid w:val="007A3A82"/>
    <w:rsid w:val="007A766B"/>
    <w:rsid w:val="007B10CB"/>
    <w:rsid w:val="007C1544"/>
    <w:rsid w:val="007C4684"/>
    <w:rsid w:val="007D20B0"/>
    <w:rsid w:val="007D3194"/>
    <w:rsid w:val="007D6DDA"/>
    <w:rsid w:val="007E0289"/>
    <w:rsid w:val="007E0B5C"/>
    <w:rsid w:val="007E7529"/>
    <w:rsid w:val="007F010B"/>
    <w:rsid w:val="007F69BF"/>
    <w:rsid w:val="007F7E16"/>
    <w:rsid w:val="008005AA"/>
    <w:rsid w:val="008051B5"/>
    <w:rsid w:val="00805FF0"/>
    <w:rsid w:val="0081132D"/>
    <w:rsid w:val="00811443"/>
    <w:rsid w:val="0081774B"/>
    <w:rsid w:val="00817AE2"/>
    <w:rsid w:val="008206C0"/>
    <w:rsid w:val="00830ADA"/>
    <w:rsid w:val="00831709"/>
    <w:rsid w:val="00840DEE"/>
    <w:rsid w:val="00842180"/>
    <w:rsid w:val="008431E8"/>
    <w:rsid w:val="00843886"/>
    <w:rsid w:val="0085178F"/>
    <w:rsid w:val="00851CD3"/>
    <w:rsid w:val="00853788"/>
    <w:rsid w:val="00856DB5"/>
    <w:rsid w:val="00865732"/>
    <w:rsid w:val="008662EF"/>
    <w:rsid w:val="00867BE6"/>
    <w:rsid w:val="00870489"/>
    <w:rsid w:val="00871E29"/>
    <w:rsid w:val="0087257C"/>
    <w:rsid w:val="00875508"/>
    <w:rsid w:val="00875D88"/>
    <w:rsid w:val="00876BF6"/>
    <w:rsid w:val="00876FD5"/>
    <w:rsid w:val="0088082F"/>
    <w:rsid w:val="008814A1"/>
    <w:rsid w:val="00881DC2"/>
    <w:rsid w:val="008829AB"/>
    <w:rsid w:val="00883292"/>
    <w:rsid w:val="0088356B"/>
    <w:rsid w:val="00887ED6"/>
    <w:rsid w:val="008914DB"/>
    <w:rsid w:val="00896345"/>
    <w:rsid w:val="008A09B1"/>
    <w:rsid w:val="008A4542"/>
    <w:rsid w:val="008A51CD"/>
    <w:rsid w:val="008A5AB3"/>
    <w:rsid w:val="008A68E7"/>
    <w:rsid w:val="008B09F3"/>
    <w:rsid w:val="008B1AF6"/>
    <w:rsid w:val="008B1B2F"/>
    <w:rsid w:val="008C0E4B"/>
    <w:rsid w:val="008C3284"/>
    <w:rsid w:val="008C5422"/>
    <w:rsid w:val="008C5D0E"/>
    <w:rsid w:val="008C7A5B"/>
    <w:rsid w:val="008D012C"/>
    <w:rsid w:val="008D061C"/>
    <w:rsid w:val="008D0FA8"/>
    <w:rsid w:val="008D1C0E"/>
    <w:rsid w:val="008D1E7F"/>
    <w:rsid w:val="008D636D"/>
    <w:rsid w:val="008E194B"/>
    <w:rsid w:val="008E2633"/>
    <w:rsid w:val="008F3EBD"/>
    <w:rsid w:val="008F40FD"/>
    <w:rsid w:val="008F585A"/>
    <w:rsid w:val="008F72FC"/>
    <w:rsid w:val="0090004B"/>
    <w:rsid w:val="00900706"/>
    <w:rsid w:val="0090154E"/>
    <w:rsid w:val="00902371"/>
    <w:rsid w:val="00902B23"/>
    <w:rsid w:val="00904A3E"/>
    <w:rsid w:val="00905C05"/>
    <w:rsid w:val="00906086"/>
    <w:rsid w:val="009073A1"/>
    <w:rsid w:val="00907FE3"/>
    <w:rsid w:val="00911A86"/>
    <w:rsid w:val="00911C42"/>
    <w:rsid w:val="00916F1F"/>
    <w:rsid w:val="00917069"/>
    <w:rsid w:val="00923125"/>
    <w:rsid w:val="00925651"/>
    <w:rsid w:val="009309A6"/>
    <w:rsid w:val="00932D36"/>
    <w:rsid w:val="009366DF"/>
    <w:rsid w:val="00943C04"/>
    <w:rsid w:val="009446CB"/>
    <w:rsid w:val="00944E1E"/>
    <w:rsid w:val="009458CF"/>
    <w:rsid w:val="00946231"/>
    <w:rsid w:val="009477FF"/>
    <w:rsid w:val="009557BD"/>
    <w:rsid w:val="00960C78"/>
    <w:rsid w:val="00961715"/>
    <w:rsid w:val="0096256F"/>
    <w:rsid w:val="00966218"/>
    <w:rsid w:val="0097594D"/>
    <w:rsid w:val="009772E8"/>
    <w:rsid w:val="00977BA4"/>
    <w:rsid w:val="00985735"/>
    <w:rsid w:val="009939D4"/>
    <w:rsid w:val="009945F6"/>
    <w:rsid w:val="00994835"/>
    <w:rsid w:val="0099643D"/>
    <w:rsid w:val="009966BE"/>
    <w:rsid w:val="009A34F6"/>
    <w:rsid w:val="009A71CE"/>
    <w:rsid w:val="009B4884"/>
    <w:rsid w:val="009B547D"/>
    <w:rsid w:val="009C2B1E"/>
    <w:rsid w:val="009C6602"/>
    <w:rsid w:val="009C7498"/>
    <w:rsid w:val="009C7BCE"/>
    <w:rsid w:val="009D755B"/>
    <w:rsid w:val="009E2FAC"/>
    <w:rsid w:val="009F1277"/>
    <w:rsid w:val="009F1353"/>
    <w:rsid w:val="009F3A57"/>
    <w:rsid w:val="009F463D"/>
    <w:rsid w:val="009F4FBF"/>
    <w:rsid w:val="00A00FA8"/>
    <w:rsid w:val="00A01605"/>
    <w:rsid w:val="00A02674"/>
    <w:rsid w:val="00A032AB"/>
    <w:rsid w:val="00A04959"/>
    <w:rsid w:val="00A11F1C"/>
    <w:rsid w:val="00A124A2"/>
    <w:rsid w:val="00A13E4D"/>
    <w:rsid w:val="00A1521F"/>
    <w:rsid w:val="00A15C2E"/>
    <w:rsid w:val="00A167C9"/>
    <w:rsid w:val="00A17F23"/>
    <w:rsid w:val="00A2282D"/>
    <w:rsid w:val="00A23208"/>
    <w:rsid w:val="00A30A12"/>
    <w:rsid w:val="00A32C1B"/>
    <w:rsid w:val="00A33D0A"/>
    <w:rsid w:val="00A37704"/>
    <w:rsid w:val="00A40C9F"/>
    <w:rsid w:val="00A41A74"/>
    <w:rsid w:val="00A44F54"/>
    <w:rsid w:val="00A51201"/>
    <w:rsid w:val="00A51FF8"/>
    <w:rsid w:val="00A63477"/>
    <w:rsid w:val="00A657CA"/>
    <w:rsid w:val="00A71409"/>
    <w:rsid w:val="00A71472"/>
    <w:rsid w:val="00A727B3"/>
    <w:rsid w:val="00A7536F"/>
    <w:rsid w:val="00A75C73"/>
    <w:rsid w:val="00A772E3"/>
    <w:rsid w:val="00A774AE"/>
    <w:rsid w:val="00A82E67"/>
    <w:rsid w:val="00A860EA"/>
    <w:rsid w:val="00A86E38"/>
    <w:rsid w:val="00A9158D"/>
    <w:rsid w:val="00A94CEE"/>
    <w:rsid w:val="00A9550B"/>
    <w:rsid w:val="00A96CFD"/>
    <w:rsid w:val="00A979B5"/>
    <w:rsid w:val="00AA00E7"/>
    <w:rsid w:val="00AB0635"/>
    <w:rsid w:val="00AB1F52"/>
    <w:rsid w:val="00AB788B"/>
    <w:rsid w:val="00AC6997"/>
    <w:rsid w:val="00AC71A1"/>
    <w:rsid w:val="00AD1647"/>
    <w:rsid w:val="00AD226C"/>
    <w:rsid w:val="00AD455B"/>
    <w:rsid w:val="00AE1422"/>
    <w:rsid w:val="00AE45D5"/>
    <w:rsid w:val="00B01B69"/>
    <w:rsid w:val="00B027FC"/>
    <w:rsid w:val="00B0306B"/>
    <w:rsid w:val="00B03942"/>
    <w:rsid w:val="00B2043F"/>
    <w:rsid w:val="00B21D26"/>
    <w:rsid w:val="00B256CE"/>
    <w:rsid w:val="00B33D77"/>
    <w:rsid w:val="00B35132"/>
    <w:rsid w:val="00B353AA"/>
    <w:rsid w:val="00B36044"/>
    <w:rsid w:val="00B36B25"/>
    <w:rsid w:val="00B42373"/>
    <w:rsid w:val="00B5200E"/>
    <w:rsid w:val="00B6363E"/>
    <w:rsid w:val="00B6400F"/>
    <w:rsid w:val="00B64C70"/>
    <w:rsid w:val="00B710C1"/>
    <w:rsid w:val="00B715BE"/>
    <w:rsid w:val="00B828BE"/>
    <w:rsid w:val="00B83ABF"/>
    <w:rsid w:val="00B913BA"/>
    <w:rsid w:val="00B921A1"/>
    <w:rsid w:val="00B92857"/>
    <w:rsid w:val="00B944E7"/>
    <w:rsid w:val="00B97FCE"/>
    <w:rsid w:val="00BA1B06"/>
    <w:rsid w:val="00BA427E"/>
    <w:rsid w:val="00BA474E"/>
    <w:rsid w:val="00BA5236"/>
    <w:rsid w:val="00BA532C"/>
    <w:rsid w:val="00BA7232"/>
    <w:rsid w:val="00BB1812"/>
    <w:rsid w:val="00BB26DC"/>
    <w:rsid w:val="00BB5069"/>
    <w:rsid w:val="00BD07DE"/>
    <w:rsid w:val="00BD5608"/>
    <w:rsid w:val="00BD58AE"/>
    <w:rsid w:val="00BD76EA"/>
    <w:rsid w:val="00BE0A57"/>
    <w:rsid w:val="00C00E59"/>
    <w:rsid w:val="00C0689D"/>
    <w:rsid w:val="00C06C7E"/>
    <w:rsid w:val="00C07D42"/>
    <w:rsid w:val="00C12829"/>
    <w:rsid w:val="00C13D2B"/>
    <w:rsid w:val="00C20D5F"/>
    <w:rsid w:val="00C277CE"/>
    <w:rsid w:val="00C4272B"/>
    <w:rsid w:val="00C439C2"/>
    <w:rsid w:val="00C43A30"/>
    <w:rsid w:val="00C4742B"/>
    <w:rsid w:val="00C504EB"/>
    <w:rsid w:val="00C57386"/>
    <w:rsid w:val="00C60420"/>
    <w:rsid w:val="00C6281E"/>
    <w:rsid w:val="00C62DE0"/>
    <w:rsid w:val="00C66C16"/>
    <w:rsid w:val="00C70C53"/>
    <w:rsid w:val="00C7123E"/>
    <w:rsid w:val="00C71C0B"/>
    <w:rsid w:val="00C721D3"/>
    <w:rsid w:val="00C73F6C"/>
    <w:rsid w:val="00C80694"/>
    <w:rsid w:val="00C83AC4"/>
    <w:rsid w:val="00CA26B7"/>
    <w:rsid w:val="00CA5A18"/>
    <w:rsid w:val="00CA6360"/>
    <w:rsid w:val="00CA6C9C"/>
    <w:rsid w:val="00CB07C4"/>
    <w:rsid w:val="00CB10F9"/>
    <w:rsid w:val="00CB1149"/>
    <w:rsid w:val="00CB2E75"/>
    <w:rsid w:val="00CB36E2"/>
    <w:rsid w:val="00CB5988"/>
    <w:rsid w:val="00CB5BC8"/>
    <w:rsid w:val="00CC2984"/>
    <w:rsid w:val="00CC3C19"/>
    <w:rsid w:val="00CC3D76"/>
    <w:rsid w:val="00CC423E"/>
    <w:rsid w:val="00CC4CA7"/>
    <w:rsid w:val="00CC5745"/>
    <w:rsid w:val="00CC6C94"/>
    <w:rsid w:val="00CC6E2A"/>
    <w:rsid w:val="00CD0553"/>
    <w:rsid w:val="00CD22E7"/>
    <w:rsid w:val="00CD7BA5"/>
    <w:rsid w:val="00CD7D4C"/>
    <w:rsid w:val="00CE1FF6"/>
    <w:rsid w:val="00CF4A34"/>
    <w:rsid w:val="00CF604C"/>
    <w:rsid w:val="00CF6BCB"/>
    <w:rsid w:val="00D009C3"/>
    <w:rsid w:val="00D03572"/>
    <w:rsid w:val="00D038DF"/>
    <w:rsid w:val="00D03D87"/>
    <w:rsid w:val="00D06B50"/>
    <w:rsid w:val="00D10A91"/>
    <w:rsid w:val="00D14DA6"/>
    <w:rsid w:val="00D253CB"/>
    <w:rsid w:val="00D268F0"/>
    <w:rsid w:val="00D302EE"/>
    <w:rsid w:val="00D3438B"/>
    <w:rsid w:val="00D3458B"/>
    <w:rsid w:val="00D407C4"/>
    <w:rsid w:val="00D43369"/>
    <w:rsid w:val="00D45ECA"/>
    <w:rsid w:val="00D527B5"/>
    <w:rsid w:val="00D57BAD"/>
    <w:rsid w:val="00D60539"/>
    <w:rsid w:val="00D6170C"/>
    <w:rsid w:val="00D61829"/>
    <w:rsid w:val="00D64FDB"/>
    <w:rsid w:val="00D66666"/>
    <w:rsid w:val="00D7535C"/>
    <w:rsid w:val="00D76309"/>
    <w:rsid w:val="00D85FA9"/>
    <w:rsid w:val="00D86574"/>
    <w:rsid w:val="00D9446C"/>
    <w:rsid w:val="00D94595"/>
    <w:rsid w:val="00D96505"/>
    <w:rsid w:val="00D96969"/>
    <w:rsid w:val="00DA1059"/>
    <w:rsid w:val="00DA4D29"/>
    <w:rsid w:val="00DA5DBE"/>
    <w:rsid w:val="00DA7939"/>
    <w:rsid w:val="00DB2403"/>
    <w:rsid w:val="00DB3B4D"/>
    <w:rsid w:val="00DB452E"/>
    <w:rsid w:val="00DB4F9F"/>
    <w:rsid w:val="00DB68B2"/>
    <w:rsid w:val="00DC4B60"/>
    <w:rsid w:val="00DD23D4"/>
    <w:rsid w:val="00DD56BC"/>
    <w:rsid w:val="00DE1198"/>
    <w:rsid w:val="00DE5D67"/>
    <w:rsid w:val="00DE5E91"/>
    <w:rsid w:val="00DE77D0"/>
    <w:rsid w:val="00DF0EF2"/>
    <w:rsid w:val="00DF13F9"/>
    <w:rsid w:val="00DF6E66"/>
    <w:rsid w:val="00E022C0"/>
    <w:rsid w:val="00E12936"/>
    <w:rsid w:val="00E140D7"/>
    <w:rsid w:val="00E15AAA"/>
    <w:rsid w:val="00E16218"/>
    <w:rsid w:val="00E21AA1"/>
    <w:rsid w:val="00E226B6"/>
    <w:rsid w:val="00E2311E"/>
    <w:rsid w:val="00E24121"/>
    <w:rsid w:val="00E362A9"/>
    <w:rsid w:val="00E402C4"/>
    <w:rsid w:val="00E439AC"/>
    <w:rsid w:val="00E43E2B"/>
    <w:rsid w:val="00E44D37"/>
    <w:rsid w:val="00E559A6"/>
    <w:rsid w:val="00E5779E"/>
    <w:rsid w:val="00E66294"/>
    <w:rsid w:val="00E66AA5"/>
    <w:rsid w:val="00E67804"/>
    <w:rsid w:val="00E70A64"/>
    <w:rsid w:val="00E70DDB"/>
    <w:rsid w:val="00E72E58"/>
    <w:rsid w:val="00E732C2"/>
    <w:rsid w:val="00E73898"/>
    <w:rsid w:val="00E75681"/>
    <w:rsid w:val="00E75E82"/>
    <w:rsid w:val="00E8021A"/>
    <w:rsid w:val="00E81D0B"/>
    <w:rsid w:val="00E83341"/>
    <w:rsid w:val="00E84F0F"/>
    <w:rsid w:val="00E9065B"/>
    <w:rsid w:val="00E90BC5"/>
    <w:rsid w:val="00E91EE0"/>
    <w:rsid w:val="00E92DE3"/>
    <w:rsid w:val="00EA0638"/>
    <w:rsid w:val="00EA2958"/>
    <w:rsid w:val="00EA30F5"/>
    <w:rsid w:val="00EA3429"/>
    <w:rsid w:val="00EA4534"/>
    <w:rsid w:val="00EA5329"/>
    <w:rsid w:val="00EA7714"/>
    <w:rsid w:val="00EB308B"/>
    <w:rsid w:val="00EB4F28"/>
    <w:rsid w:val="00EB7FA1"/>
    <w:rsid w:val="00EC407A"/>
    <w:rsid w:val="00EC44B2"/>
    <w:rsid w:val="00EC4DDF"/>
    <w:rsid w:val="00EC5B63"/>
    <w:rsid w:val="00ED4052"/>
    <w:rsid w:val="00ED61E5"/>
    <w:rsid w:val="00ED77A6"/>
    <w:rsid w:val="00EE1712"/>
    <w:rsid w:val="00EE3410"/>
    <w:rsid w:val="00EE3DCA"/>
    <w:rsid w:val="00EE3E7E"/>
    <w:rsid w:val="00EE55C8"/>
    <w:rsid w:val="00EF3203"/>
    <w:rsid w:val="00EF3D26"/>
    <w:rsid w:val="00EF4AA8"/>
    <w:rsid w:val="00EF4C5A"/>
    <w:rsid w:val="00EF74D3"/>
    <w:rsid w:val="00F0626B"/>
    <w:rsid w:val="00F114DE"/>
    <w:rsid w:val="00F13717"/>
    <w:rsid w:val="00F137A0"/>
    <w:rsid w:val="00F14AEE"/>
    <w:rsid w:val="00F17F6B"/>
    <w:rsid w:val="00F22533"/>
    <w:rsid w:val="00F22BD4"/>
    <w:rsid w:val="00F23403"/>
    <w:rsid w:val="00F265E8"/>
    <w:rsid w:val="00F26830"/>
    <w:rsid w:val="00F33DBB"/>
    <w:rsid w:val="00F35452"/>
    <w:rsid w:val="00F360D8"/>
    <w:rsid w:val="00F438CB"/>
    <w:rsid w:val="00F468AA"/>
    <w:rsid w:val="00F46BFF"/>
    <w:rsid w:val="00F51CC4"/>
    <w:rsid w:val="00F5267C"/>
    <w:rsid w:val="00F54A87"/>
    <w:rsid w:val="00F61B88"/>
    <w:rsid w:val="00F622BE"/>
    <w:rsid w:val="00F67D2C"/>
    <w:rsid w:val="00F7091F"/>
    <w:rsid w:val="00F7240C"/>
    <w:rsid w:val="00F72663"/>
    <w:rsid w:val="00F750FD"/>
    <w:rsid w:val="00F83283"/>
    <w:rsid w:val="00F83E1F"/>
    <w:rsid w:val="00F90DF0"/>
    <w:rsid w:val="00F93A5E"/>
    <w:rsid w:val="00F957C1"/>
    <w:rsid w:val="00FA002C"/>
    <w:rsid w:val="00FA0C3F"/>
    <w:rsid w:val="00FA1AAC"/>
    <w:rsid w:val="00FA242E"/>
    <w:rsid w:val="00FA35CE"/>
    <w:rsid w:val="00FA5253"/>
    <w:rsid w:val="00FA799D"/>
    <w:rsid w:val="00FB1157"/>
    <w:rsid w:val="00FB2D90"/>
    <w:rsid w:val="00FB311E"/>
    <w:rsid w:val="00FC276F"/>
    <w:rsid w:val="00FC5238"/>
    <w:rsid w:val="00FC534C"/>
    <w:rsid w:val="00FC5F97"/>
    <w:rsid w:val="00FC631A"/>
    <w:rsid w:val="00FC63E8"/>
    <w:rsid w:val="00FD21B8"/>
    <w:rsid w:val="00FD3FE2"/>
    <w:rsid w:val="00FE1456"/>
    <w:rsid w:val="00FE69E3"/>
    <w:rsid w:val="00FF1498"/>
    <w:rsid w:val="00FF4A5C"/>
    <w:rsid w:val="00FF7C5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2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C3"/>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semiHidden/>
    <w:unhideWhenUsed/>
    <w:rsid w:val="001A4FBC"/>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C3"/>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semiHidden/>
    <w:unhideWhenUsed/>
    <w:rsid w:val="001A4FB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277029425">
      <w:bodyDiv w:val="1"/>
      <w:marLeft w:val="0"/>
      <w:marRight w:val="0"/>
      <w:marTop w:val="0"/>
      <w:marBottom w:val="0"/>
      <w:divBdr>
        <w:top w:val="none" w:sz="0" w:space="0" w:color="auto"/>
        <w:left w:val="none" w:sz="0" w:space="0" w:color="auto"/>
        <w:bottom w:val="none" w:sz="0" w:space="0" w:color="auto"/>
        <w:right w:val="none" w:sz="0" w:space="0" w:color="auto"/>
      </w:divBdr>
    </w:div>
    <w:div w:id="280235785">
      <w:bodyDiv w:val="1"/>
      <w:marLeft w:val="0"/>
      <w:marRight w:val="0"/>
      <w:marTop w:val="0"/>
      <w:marBottom w:val="0"/>
      <w:divBdr>
        <w:top w:val="none" w:sz="0" w:space="0" w:color="auto"/>
        <w:left w:val="none" w:sz="0" w:space="0" w:color="auto"/>
        <w:bottom w:val="none" w:sz="0" w:space="0" w:color="auto"/>
        <w:right w:val="none" w:sz="0" w:space="0" w:color="auto"/>
      </w:divBdr>
    </w:div>
    <w:div w:id="300424902">
      <w:bodyDiv w:val="1"/>
      <w:marLeft w:val="0"/>
      <w:marRight w:val="0"/>
      <w:marTop w:val="0"/>
      <w:marBottom w:val="0"/>
      <w:divBdr>
        <w:top w:val="none" w:sz="0" w:space="0" w:color="auto"/>
        <w:left w:val="none" w:sz="0" w:space="0" w:color="auto"/>
        <w:bottom w:val="none" w:sz="0" w:space="0" w:color="auto"/>
        <w:right w:val="none" w:sz="0" w:space="0" w:color="auto"/>
      </w:divBdr>
    </w:div>
    <w:div w:id="309092558">
      <w:bodyDiv w:val="1"/>
      <w:marLeft w:val="0"/>
      <w:marRight w:val="0"/>
      <w:marTop w:val="0"/>
      <w:marBottom w:val="0"/>
      <w:divBdr>
        <w:top w:val="none" w:sz="0" w:space="0" w:color="auto"/>
        <w:left w:val="none" w:sz="0" w:space="0" w:color="auto"/>
        <w:bottom w:val="none" w:sz="0" w:space="0" w:color="auto"/>
        <w:right w:val="none" w:sz="0" w:space="0" w:color="auto"/>
      </w:divBdr>
    </w:div>
    <w:div w:id="314795534">
      <w:bodyDiv w:val="1"/>
      <w:marLeft w:val="0"/>
      <w:marRight w:val="0"/>
      <w:marTop w:val="0"/>
      <w:marBottom w:val="0"/>
      <w:divBdr>
        <w:top w:val="none" w:sz="0" w:space="0" w:color="auto"/>
        <w:left w:val="none" w:sz="0" w:space="0" w:color="auto"/>
        <w:bottom w:val="none" w:sz="0" w:space="0" w:color="auto"/>
        <w:right w:val="none" w:sz="0" w:space="0" w:color="auto"/>
      </w:divBdr>
    </w:div>
    <w:div w:id="383139398">
      <w:bodyDiv w:val="1"/>
      <w:marLeft w:val="0"/>
      <w:marRight w:val="0"/>
      <w:marTop w:val="0"/>
      <w:marBottom w:val="0"/>
      <w:divBdr>
        <w:top w:val="none" w:sz="0" w:space="0" w:color="auto"/>
        <w:left w:val="none" w:sz="0" w:space="0" w:color="auto"/>
        <w:bottom w:val="none" w:sz="0" w:space="0" w:color="auto"/>
        <w:right w:val="none" w:sz="0" w:space="0" w:color="auto"/>
      </w:divBdr>
    </w:div>
    <w:div w:id="400325476">
      <w:bodyDiv w:val="1"/>
      <w:marLeft w:val="0"/>
      <w:marRight w:val="0"/>
      <w:marTop w:val="0"/>
      <w:marBottom w:val="0"/>
      <w:divBdr>
        <w:top w:val="none" w:sz="0" w:space="0" w:color="auto"/>
        <w:left w:val="none" w:sz="0" w:space="0" w:color="auto"/>
        <w:bottom w:val="none" w:sz="0" w:space="0" w:color="auto"/>
        <w:right w:val="none" w:sz="0" w:space="0" w:color="auto"/>
      </w:divBdr>
    </w:div>
    <w:div w:id="472258198">
      <w:bodyDiv w:val="1"/>
      <w:marLeft w:val="0"/>
      <w:marRight w:val="0"/>
      <w:marTop w:val="0"/>
      <w:marBottom w:val="0"/>
      <w:divBdr>
        <w:top w:val="none" w:sz="0" w:space="0" w:color="auto"/>
        <w:left w:val="none" w:sz="0" w:space="0" w:color="auto"/>
        <w:bottom w:val="none" w:sz="0" w:space="0" w:color="auto"/>
        <w:right w:val="none" w:sz="0" w:space="0" w:color="auto"/>
      </w:divBdr>
    </w:div>
    <w:div w:id="641038382">
      <w:bodyDiv w:val="1"/>
      <w:marLeft w:val="0"/>
      <w:marRight w:val="0"/>
      <w:marTop w:val="0"/>
      <w:marBottom w:val="0"/>
      <w:divBdr>
        <w:top w:val="none" w:sz="0" w:space="0" w:color="auto"/>
        <w:left w:val="none" w:sz="0" w:space="0" w:color="auto"/>
        <w:bottom w:val="none" w:sz="0" w:space="0" w:color="auto"/>
        <w:right w:val="none" w:sz="0" w:space="0" w:color="auto"/>
      </w:divBdr>
    </w:div>
    <w:div w:id="697393623">
      <w:bodyDiv w:val="1"/>
      <w:marLeft w:val="0"/>
      <w:marRight w:val="0"/>
      <w:marTop w:val="0"/>
      <w:marBottom w:val="0"/>
      <w:divBdr>
        <w:top w:val="none" w:sz="0" w:space="0" w:color="auto"/>
        <w:left w:val="none" w:sz="0" w:space="0" w:color="auto"/>
        <w:bottom w:val="none" w:sz="0" w:space="0" w:color="auto"/>
        <w:right w:val="none" w:sz="0" w:space="0" w:color="auto"/>
      </w:divBdr>
    </w:div>
    <w:div w:id="791243086">
      <w:bodyDiv w:val="1"/>
      <w:marLeft w:val="0"/>
      <w:marRight w:val="0"/>
      <w:marTop w:val="0"/>
      <w:marBottom w:val="0"/>
      <w:divBdr>
        <w:top w:val="none" w:sz="0" w:space="0" w:color="auto"/>
        <w:left w:val="none" w:sz="0" w:space="0" w:color="auto"/>
        <w:bottom w:val="none" w:sz="0" w:space="0" w:color="auto"/>
        <w:right w:val="none" w:sz="0" w:space="0" w:color="auto"/>
      </w:divBdr>
    </w:div>
    <w:div w:id="816609632">
      <w:bodyDiv w:val="1"/>
      <w:marLeft w:val="0"/>
      <w:marRight w:val="0"/>
      <w:marTop w:val="0"/>
      <w:marBottom w:val="0"/>
      <w:divBdr>
        <w:top w:val="none" w:sz="0" w:space="0" w:color="auto"/>
        <w:left w:val="none" w:sz="0" w:space="0" w:color="auto"/>
        <w:bottom w:val="none" w:sz="0" w:space="0" w:color="auto"/>
        <w:right w:val="none" w:sz="0" w:space="0" w:color="auto"/>
      </w:divBdr>
    </w:div>
    <w:div w:id="848788213">
      <w:bodyDiv w:val="1"/>
      <w:marLeft w:val="0"/>
      <w:marRight w:val="0"/>
      <w:marTop w:val="0"/>
      <w:marBottom w:val="0"/>
      <w:divBdr>
        <w:top w:val="none" w:sz="0" w:space="0" w:color="auto"/>
        <w:left w:val="none" w:sz="0" w:space="0" w:color="auto"/>
        <w:bottom w:val="none" w:sz="0" w:space="0" w:color="auto"/>
        <w:right w:val="none" w:sz="0" w:space="0" w:color="auto"/>
      </w:divBdr>
    </w:div>
    <w:div w:id="961687010">
      <w:bodyDiv w:val="1"/>
      <w:marLeft w:val="0"/>
      <w:marRight w:val="0"/>
      <w:marTop w:val="0"/>
      <w:marBottom w:val="0"/>
      <w:divBdr>
        <w:top w:val="none" w:sz="0" w:space="0" w:color="auto"/>
        <w:left w:val="none" w:sz="0" w:space="0" w:color="auto"/>
        <w:bottom w:val="none" w:sz="0" w:space="0" w:color="auto"/>
        <w:right w:val="none" w:sz="0" w:space="0" w:color="auto"/>
      </w:divBdr>
    </w:div>
    <w:div w:id="983662052">
      <w:bodyDiv w:val="1"/>
      <w:marLeft w:val="0"/>
      <w:marRight w:val="0"/>
      <w:marTop w:val="0"/>
      <w:marBottom w:val="0"/>
      <w:divBdr>
        <w:top w:val="none" w:sz="0" w:space="0" w:color="auto"/>
        <w:left w:val="none" w:sz="0" w:space="0" w:color="auto"/>
        <w:bottom w:val="none" w:sz="0" w:space="0" w:color="auto"/>
        <w:right w:val="none" w:sz="0" w:space="0" w:color="auto"/>
      </w:divBdr>
    </w:div>
    <w:div w:id="1046182996">
      <w:bodyDiv w:val="1"/>
      <w:marLeft w:val="0"/>
      <w:marRight w:val="0"/>
      <w:marTop w:val="0"/>
      <w:marBottom w:val="0"/>
      <w:divBdr>
        <w:top w:val="none" w:sz="0" w:space="0" w:color="auto"/>
        <w:left w:val="none" w:sz="0" w:space="0" w:color="auto"/>
        <w:bottom w:val="none" w:sz="0" w:space="0" w:color="auto"/>
        <w:right w:val="none" w:sz="0" w:space="0" w:color="auto"/>
      </w:divBdr>
    </w:div>
    <w:div w:id="1060009458">
      <w:bodyDiv w:val="1"/>
      <w:marLeft w:val="0"/>
      <w:marRight w:val="0"/>
      <w:marTop w:val="0"/>
      <w:marBottom w:val="0"/>
      <w:divBdr>
        <w:top w:val="none" w:sz="0" w:space="0" w:color="auto"/>
        <w:left w:val="none" w:sz="0" w:space="0" w:color="auto"/>
        <w:bottom w:val="none" w:sz="0" w:space="0" w:color="auto"/>
        <w:right w:val="none" w:sz="0" w:space="0" w:color="auto"/>
      </w:divBdr>
    </w:div>
    <w:div w:id="1079059453">
      <w:bodyDiv w:val="1"/>
      <w:marLeft w:val="0"/>
      <w:marRight w:val="0"/>
      <w:marTop w:val="0"/>
      <w:marBottom w:val="0"/>
      <w:divBdr>
        <w:top w:val="none" w:sz="0" w:space="0" w:color="auto"/>
        <w:left w:val="none" w:sz="0" w:space="0" w:color="auto"/>
        <w:bottom w:val="none" w:sz="0" w:space="0" w:color="auto"/>
        <w:right w:val="none" w:sz="0" w:space="0" w:color="auto"/>
      </w:divBdr>
    </w:div>
    <w:div w:id="1088232760">
      <w:bodyDiv w:val="1"/>
      <w:marLeft w:val="0"/>
      <w:marRight w:val="0"/>
      <w:marTop w:val="0"/>
      <w:marBottom w:val="0"/>
      <w:divBdr>
        <w:top w:val="none" w:sz="0" w:space="0" w:color="auto"/>
        <w:left w:val="none" w:sz="0" w:space="0" w:color="auto"/>
        <w:bottom w:val="none" w:sz="0" w:space="0" w:color="auto"/>
        <w:right w:val="none" w:sz="0" w:space="0" w:color="auto"/>
      </w:divBdr>
    </w:div>
    <w:div w:id="1115826677">
      <w:bodyDiv w:val="1"/>
      <w:marLeft w:val="0"/>
      <w:marRight w:val="0"/>
      <w:marTop w:val="0"/>
      <w:marBottom w:val="0"/>
      <w:divBdr>
        <w:top w:val="none" w:sz="0" w:space="0" w:color="auto"/>
        <w:left w:val="none" w:sz="0" w:space="0" w:color="auto"/>
        <w:bottom w:val="none" w:sz="0" w:space="0" w:color="auto"/>
        <w:right w:val="none" w:sz="0" w:space="0" w:color="auto"/>
      </w:divBdr>
    </w:div>
    <w:div w:id="1148520348">
      <w:bodyDiv w:val="1"/>
      <w:marLeft w:val="0"/>
      <w:marRight w:val="0"/>
      <w:marTop w:val="0"/>
      <w:marBottom w:val="0"/>
      <w:divBdr>
        <w:top w:val="none" w:sz="0" w:space="0" w:color="auto"/>
        <w:left w:val="none" w:sz="0" w:space="0" w:color="auto"/>
        <w:bottom w:val="none" w:sz="0" w:space="0" w:color="auto"/>
        <w:right w:val="none" w:sz="0" w:space="0" w:color="auto"/>
      </w:divBdr>
    </w:div>
    <w:div w:id="1270893849">
      <w:bodyDiv w:val="1"/>
      <w:marLeft w:val="0"/>
      <w:marRight w:val="0"/>
      <w:marTop w:val="0"/>
      <w:marBottom w:val="0"/>
      <w:divBdr>
        <w:top w:val="none" w:sz="0" w:space="0" w:color="auto"/>
        <w:left w:val="none" w:sz="0" w:space="0" w:color="auto"/>
        <w:bottom w:val="none" w:sz="0" w:space="0" w:color="auto"/>
        <w:right w:val="none" w:sz="0" w:space="0" w:color="auto"/>
      </w:divBdr>
    </w:div>
    <w:div w:id="1275291162">
      <w:bodyDiv w:val="1"/>
      <w:marLeft w:val="0"/>
      <w:marRight w:val="0"/>
      <w:marTop w:val="0"/>
      <w:marBottom w:val="0"/>
      <w:divBdr>
        <w:top w:val="none" w:sz="0" w:space="0" w:color="auto"/>
        <w:left w:val="none" w:sz="0" w:space="0" w:color="auto"/>
        <w:bottom w:val="none" w:sz="0" w:space="0" w:color="auto"/>
        <w:right w:val="none" w:sz="0" w:space="0" w:color="auto"/>
      </w:divBdr>
    </w:div>
    <w:div w:id="1331911337">
      <w:bodyDiv w:val="1"/>
      <w:marLeft w:val="0"/>
      <w:marRight w:val="0"/>
      <w:marTop w:val="0"/>
      <w:marBottom w:val="0"/>
      <w:divBdr>
        <w:top w:val="none" w:sz="0" w:space="0" w:color="auto"/>
        <w:left w:val="none" w:sz="0" w:space="0" w:color="auto"/>
        <w:bottom w:val="none" w:sz="0" w:space="0" w:color="auto"/>
        <w:right w:val="none" w:sz="0" w:space="0" w:color="auto"/>
      </w:divBdr>
    </w:div>
    <w:div w:id="1343362041">
      <w:bodyDiv w:val="1"/>
      <w:marLeft w:val="0"/>
      <w:marRight w:val="0"/>
      <w:marTop w:val="0"/>
      <w:marBottom w:val="0"/>
      <w:divBdr>
        <w:top w:val="none" w:sz="0" w:space="0" w:color="auto"/>
        <w:left w:val="none" w:sz="0" w:space="0" w:color="auto"/>
        <w:bottom w:val="none" w:sz="0" w:space="0" w:color="auto"/>
        <w:right w:val="none" w:sz="0" w:space="0" w:color="auto"/>
      </w:divBdr>
    </w:div>
    <w:div w:id="1355617932">
      <w:bodyDiv w:val="1"/>
      <w:marLeft w:val="0"/>
      <w:marRight w:val="0"/>
      <w:marTop w:val="0"/>
      <w:marBottom w:val="0"/>
      <w:divBdr>
        <w:top w:val="none" w:sz="0" w:space="0" w:color="auto"/>
        <w:left w:val="none" w:sz="0" w:space="0" w:color="auto"/>
        <w:bottom w:val="none" w:sz="0" w:space="0" w:color="auto"/>
        <w:right w:val="none" w:sz="0" w:space="0" w:color="auto"/>
      </w:divBdr>
    </w:div>
    <w:div w:id="1435829409">
      <w:bodyDiv w:val="1"/>
      <w:marLeft w:val="0"/>
      <w:marRight w:val="0"/>
      <w:marTop w:val="0"/>
      <w:marBottom w:val="0"/>
      <w:divBdr>
        <w:top w:val="none" w:sz="0" w:space="0" w:color="auto"/>
        <w:left w:val="none" w:sz="0" w:space="0" w:color="auto"/>
        <w:bottom w:val="none" w:sz="0" w:space="0" w:color="auto"/>
        <w:right w:val="none" w:sz="0" w:space="0" w:color="auto"/>
      </w:divBdr>
    </w:div>
    <w:div w:id="1438407237">
      <w:bodyDiv w:val="1"/>
      <w:marLeft w:val="0"/>
      <w:marRight w:val="0"/>
      <w:marTop w:val="0"/>
      <w:marBottom w:val="0"/>
      <w:divBdr>
        <w:top w:val="none" w:sz="0" w:space="0" w:color="auto"/>
        <w:left w:val="none" w:sz="0" w:space="0" w:color="auto"/>
        <w:bottom w:val="none" w:sz="0" w:space="0" w:color="auto"/>
        <w:right w:val="none" w:sz="0" w:space="0" w:color="auto"/>
      </w:divBdr>
    </w:div>
    <w:div w:id="1529179443">
      <w:bodyDiv w:val="1"/>
      <w:marLeft w:val="0"/>
      <w:marRight w:val="0"/>
      <w:marTop w:val="0"/>
      <w:marBottom w:val="0"/>
      <w:divBdr>
        <w:top w:val="none" w:sz="0" w:space="0" w:color="auto"/>
        <w:left w:val="none" w:sz="0" w:space="0" w:color="auto"/>
        <w:bottom w:val="none" w:sz="0" w:space="0" w:color="auto"/>
        <w:right w:val="none" w:sz="0" w:space="0" w:color="auto"/>
      </w:divBdr>
    </w:div>
    <w:div w:id="1539312886">
      <w:bodyDiv w:val="1"/>
      <w:marLeft w:val="0"/>
      <w:marRight w:val="0"/>
      <w:marTop w:val="0"/>
      <w:marBottom w:val="0"/>
      <w:divBdr>
        <w:top w:val="none" w:sz="0" w:space="0" w:color="auto"/>
        <w:left w:val="none" w:sz="0" w:space="0" w:color="auto"/>
        <w:bottom w:val="none" w:sz="0" w:space="0" w:color="auto"/>
        <w:right w:val="none" w:sz="0" w:space="0" w:color="auto"/>
      </w:divBdr>
    </w:div>
    <w:div w:id="1600067792">
      <w:bodyDiv w:val="1"/>
      <w:marLeft w:val="0"/>
      <w:marRight w:val="0"/>
      <w:marTop w:val="0"/>
      <w:marBottom w:val="0"/>
      <w:divBdr>
        <w:top w:val="none" w:sz="0" w:space="0" w:color="auto"/>
        <w:left w:val="none" w:sz="0" w:space="0" w:color="auto"/>
        <w:bottom w:val="none" w:sz="0" w:space="0" w:color="auto"/>
        <w:right w:val="none" w:sz="0" w:space="0" w:color="auto"/>
      </w:divBdr>
    </w:div>
    <w:div w:id="1643191130">
      <w:bodyDiv w:val="1"/>
      <w:marLeft w:val="0"/>
      <w:marRight w:val="0"/>
      <w:marTop w:val="0"/>
      <w:marBottom w:val="0"/>
      <w:divBdr>
        <w:top w:val="none" w:sz="0" w:space="0" w:color="auto"/>
        <w:left w:val="none" w:sz="0" w:space="0" w:color="auto"/>
        <w:bottom w:val="none" w:sz="0" w:space="0" w:color="auto"/>
        <w:right w:val="none" w:sz="0" w:space="0" w:color="auto"/>
      </w:divBdr>
    </w:div>
    <w:div w:id="1675257273">
      <w:bodyDiv w:val="1"/>
      <w:marLeft w:val="0"/>
      <w:marRight w:val="0"/>
      <w:marTop w:val="0"/>
      <w:marBottom w:val="0"/>
      <w:divBdr>
        <w:top w:val="none" w:sz="0" w:space="0" w:color="auto"/>
        <w:left w:val="none" w:sz="0" w:space="0" w:color="auto"/>
        <w:bottom w:val="none" w:sz="0" w:space="0" w:color="auto"/>
        <w:right w:val="none" w:sz="0" w:space="0" w:color="auto"/>
      </w:divBdr>
    </w:div>
    <w:div w:id="1676881877">
      <w:bodyDiv w:val="1"/>
      <w:marLeft w:val="0"/>
      <w:marRight w:val="0"/>
      <w:marTop w:val="0"/>
      <w:marBottom w:val="0"/>
      <w:divBdr>
        <w:top w:val="none" w:sz="0" w:space="0" w:color="auto"/>
        <w:left w:val="none" w:sz="0" w:space="0" w:color="auto"/>
        <w:bottom w:val="none" w:sz="0" w:space="0" w:color="auto"/>
        <w:right w:val="none" w:sz="0" w:space="0" w:color="auto"/>
      </w:divBdr>
    </w:div>
    <w:div w:id="1679455315">
      <w:bodyDiv w:val="1"/>
      <w:marLeft w:val="0"/>
      <w:marRight w:val="0"/>
      <w:marTop w:val="0"/>
      <w:marBottom w:val="0"/>
      <w:divBdr>
        <w:top w:val="none" w:sz="0" w:space="0" w:color="auto"/>
        <w:left w:val="none" w:sz="0" w:space="0" w:color="auto"/>
        <w:bottom w:val="none" w:sz="0" w:space="0" w:color="auto"/>
        <w:right w:val="none" w:sz="0" w:space="0" w:color="auto"/>
      </w:divBdr>
    </w:div>
    <w:div w:id="1706103593">
      <w:bodyDiv w:val="1"/>
      <w:marLeft w:val="0"/>
      <w:marRight w:val="0"/>
      <w:marTop w:val="0"/>
      <w:marBottom w:val="0"/>
      <w:divBdr>
        <w:top w:val="none" w:sz="0" w:space="0" w:color="auto"/>
        <w:left w:val="none" w:sz="0" w:space="0" w:color="auto"/>
        <w:bottom w:val="none" w:sz="0" w:space="0" w:color="auto"/>
        <w:right w:val="none" w:sz="0" w:space="0" w:color="auto"/>
      </w:divBdr>
    </w:div>
    <w:div w:id="1723169564">
      <w:bodyDiv w:val="1"/>
      <w:marLeft w:val="0"/>
      <w:marRight w:val="0"/>
      <w:marTop w:val="0"/>
      <w:marBottom w:val="0"/>
      <w:divBdr>
        <w:top w:val="none" w:sz="0" w:space="0" w:color="auto"/>
        <w:left w:val="none" w:sz="0" w:space="0" w:color="auto"/>
        <w:bottom w:val="none" w:sz="0" w:space="0" w:color="auto"/>
        <w:right w:val="none" w:sz="0" w:space="0" w:color="auto"/>
      </w:divBdr>
    </w:div>
    <w:div w:id="1734232039">
      <w:bodyDiv w:val="1"/>
      <w:marLeft w:val="0"/>
      <w:marRight w:val="0"/>
      <w:marTop w:val="0"/>
      <w:marBottom w:val="0"/>
      <w:divBdr>
        <w:top w:val="none" w:sz="0" w:space="0" w:color="auto"/>
        <w:left w:val="none" w:sz="0" w:space="0" w:color="auto"/>
        <w:bottom w:val="none" w:sz="0" w:space="0" w:color="auto"/>
        <w:right w:val="none" w:sz="0" w:space="0" w:color="auto"/>
      </w:divBdr>
    </w:div>
    <w:div w:id="1739161542">
      <w:bodyDiv w:val="1"/>
      <w:marLeft w:val="0"/>
      <w:marRight w:val="0"/>
      <w:marTop w:val="0"/>
      <w:marBottom w:val="0"/>
      <w:divBdr>
        <w:top w:val="none" w:sz="0" w:space="0" w:color="auto"/>
        <w:left w:val="none" w:sz="0" w:space="0" w:color="auto"/>
        <w:bottom w:val="none" w:sz="0" w:space="0" w:color="auto"/>
        <w:right w:val="none" w:sz="0" w:space="0" w:color="auto"/>
      </w:divBdr>
    </w:div>
    <w:div w:id="1762867519">
      <w:bodyDiv w:val="1"/>
      <w:marLeft w:val="0"/>
      <w:marRight w:val="0"/>
      <w:marTop w:val="0"/>
      <w:marBottom w:val="0"/>
      <w:divBdr>
        <w:top w:val="none" w:sz="0" w:space="0" w:color="auto"/>
        <w:left w:val="none" w:sz="0" w:space="0" w:color="auto"/>
        <w:bottom w:val="none" w:sz="0" w:space="0" w:color="auto"/>
        <w:right w:val="none" w:sz="0" w:space="0" w:color="auto"/>
      </w:divBdr>
    </w:div>
    <w:div w:id="1780904542">
      <w:bodyDiv w:val="1"/>
      <w:marLeft w:val="0"/>
      <w:marRight w:val="0"/>
      <w:marTop w:val="0"/>
      <w:marBottom w:val="0"/>
      <w:divBdr>
        <w:top w:val="none" w:sz="0" w:space="0" w:color="auto"/>
        <w:left w:val="none" w:sz="0" w:space="0" w:color="auto"/>
        <w:bottom w:val="none" w:sz="0" w:space="0" w:color="auto"/>
        <w:right w:val="none" w:sz="0" w:space="0" w:color="auto"/>
      </w:divBdr>
    </w:div>
    <w:div w:id="1795176205">
      <w:bodyDiv w:val="1"/>
      <w:marLeft w:val="0"/>
      <w:marRight w:val="0"/>
      <w:marTop w:val="0"/>
      <w:marBottom w:val="0"/>
      <w:divBdr>
        <w:top w:val="none" w:sz="0" w:space="0" w:color="auto"/>
        <w:left w:val="none" w:sz="0" w:space="0" w:color="auto"/>
        <w:bottom w:val="none" w:sz="0" w:space="0" w:color="auto"/>
        <w:right w:val="none" w:sz="0" w:space="0" w:color="auto"/>
      </w:divBdr>
    </w:div>
    <w:div w:id="1899050200">
      <w:bodyDiv w:val="1"/>
      <w:marLeft w:val="0"/>
      <w:marRight w:val="0"/>
      <w:marTop w:val="0"/>
      <w:marBottom w:val="0"/>
      <w:divBdr>
        <w:top w:val="none" w:sz="0" w:space="0" w:color="auto"/>
        <w:left w:val="none" w:sz="0" w:space="0" w:color="auto"/>
        <w:bottom w:val="none" w:sz="0" w:space="0" w:color="auto"/>
        <w:right w:val="none" w:sz="0" w:space="0" w:color="auto"/>
      </w:divBdr>
    </w:div>
    <w:div w:id="2073194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footer" Target="footer1.xml"/><Relationship Id="rId3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statistics.gr/el/statistics/-/publication/SBR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a:t>
            </a:r>
          </a:p>
          <a:p>
            <a:pPr>
              <a:defRPr sz="1200"/>
            </a:pPr>
            <a:r>
              <a:rPr lang="el-GR" sz="1200"/>
              <a:t>Δείκτης</a:t>
            </a:r>
            <a:r>
              <a:rPr lang="el-GR" sz="1200" baseline="0"/>
              <a:t> Οικονομικού </a:t>
            </a:r>
            <a:r>
              <a:rPr lang="el-GR" sz="1200" baseline="0">
                <a:solidFill>
                  <a:srgbClr val="FF0000"/>
                </a:solidFill>
              </a:rPr>
              <a:t>Κ</a:t>
            </a:r>
            <a:r>
              <a:rPr lang="el-GR" sz="1200" baseline="0"/>
              <a:t>λίματος</a:t>
            </a:r>
            <a:endParaRPr lang="el-GR" sz="1200"/>
          </a:p>
        </c:rich>
      </c:tx>
      <c:overlay val="0"/>
    </c:title>
    <c:autoTitleDeleted val="0"/>
    <c:plotArea>
      <c:layout/>
      <c:lineChart>
        <c:grouping val="standard"/>
        <c:varyColors val="0"/>
        <c:ser>
          <c:idx val="0"/>
          <c:order val="0"/>
          <c:tx>
            <c:strRef>
              <c:f>Γ1!$A$3</c:f>
              <c:strCache>
                <c:ptCount val="1"/>
                <c:pt idx="0">
                  <c:v>Δείκτης οικονομικού κλίματος Ευρωπαικών ΜΜΕ</c:v>
                </c:pt>
              </c:strCache>
            </c:strRef>
          </c:tx>
          <c:marker>
            <c:symbol val="none"/>
          </c:marker>
          <c:dLbls>
            <c:txPr>
              <a:bodyPr/>
              <a:lstStyle/>
              <a:p>
                <a:pPr>
                  <a:defRPr sz="800"/>
                </a:pPr>
                <a:endParaRPr lang="el-GR"/>
              </a:p>
            </c:txPr>
            <c:dLblPos val="t"/>
            <c:showLegendKey val="0"/>
            <c:showVal val="1"/>
            <c:showCatName val="0"/>
            <c:showSerName val="0"/>
            <c:showPercent val="0"/>
            <c:showBubbleSize val="0"/>
            <c:showLeaderLines val="0"/>
          </c:dLbls>
          <c:cat>
            <c:strRef>
              <c:f>Γ1!$B$2:$Y$2</c:f>
              <c:strCache>
                <c:ptCount val="24"/>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strCache>
            </c:strRef>
          </c:cat>
          <c:val>
            <c:numRef>
              <c:f>Γ1!$B$3:$Y$3</c:f>
              <c:numCache>
                <c:formatCode>0.0</c:formatCode>
                <c:ptCount val="24"/>
                <c:pt idx="0">
                  <c:v>67.5</c:v>
                </c:pt>
                <c:pt idx="1">
                  <c:v>65.3</c:v>
                </c:pt>
                <c:pt idx="2">
                  <c:v>66.099999999999994</c:v>
                </c:pt>
                <c:pt idx="3">
                  <c:v>67.900000000000006</c:v>
                </c:pt>
                <c:pt idx="4">
                  <c:v>71.7</c:v>
                </c:pt>
                <c:pt idx="5">
                  <c:v>72.3</c:v>
                </c:pt>
                <c:pt idx="6">
                  <c:v>74.900000000000006</c:v>
                </c:pt>
                <c:pt idx="7">
                  <c:v>75.599999999999994</c:v>
                </c:pt>
                <c:pt idx="8">
                  <c:v>75.5</c:v>
                </c:pt>
                <c:pt idx="9">
                  <c:v>75.8</c:v>
                </c:pt>
                <c:pt idx="10">
                  <c:v>80.2</c:v>
                </c:pt>
                <c:pt idx="11">
                  <c:v>81.599999999999994</c:v>
                </c:pt>
                <c:pt idx="12">
                  <c:v>81.7</c:v>
                </c:pt>
                <c:pt idx="13">
                  <c:v>76.599999999999994</c:v>
                </c:pt>
                <c:pt idx="14">
                  <c:v>77.099999999999994</c:v>
                </c:pt>
                <c:pt idx="15">
                  <c:v>73.400000000000006</c:v>
                </c:pt>
                <c:pt idx="16">
                  <c:v>54.6</c:v>
                </c:pt>
                <c:pt idx="17">
                  <c:v>59.8</c:v>
                </c:pt>
                <c:pt idx="18">
                  <c:v>76.099999999999994</c:v>
                </c:pt>
                <c:pt idx="19">
                  <c:v>75.2</c:v>
                </c:pt>
                <c:pt idx="20">
                  <c:v>72.400000000000006</c:v>
                </c:pt>
                <c:pt idx="21">
                  <c:v>71.3</c:v>
                </c:pt>
                <c:pt idx="22">
                  <c:v>73.8</c:v>
                </c:pt>
              </c:numCache>
            </c:numRef>
          </c:val>
          <c:smooth val="0"/>
        </c:ser>
        <c:ser>
          <c:idx val="1"/>
          <c:order val="1"/>
          <c:tx>
            <c:strRef>
              <c:f>Γ1!$A$4</c:f>
              <c:strCache>
                <c:ptCount val="1"/>
                <c:pt idx="0">
                  <c:v>Δείκτης οικονομικού κλίματος Ελληνικών ΜΜΕ</c:v>
                </c:pt>
              </c:strCache>
            </c:strRef>
          </c:tx>
          <c:marker>
            <c:symbol val="none"/>
          </c:marker>
          <c:dLbls>
            <c:txPr>
              <a:bodyPr/>
              <a:lstStyle/>
              <a:p>
                <a:pPr>
                  <a:defRPr sz="800"/>
                </a:pPr>
                <a:endParaRPr lang="el-GR"/>
              </a:p>
            </c:txPr>
            <c:dLblPos val="b"/>
            <c:showLegendKey val="0"/>
            <c:showVal val="1"/>
            <c:showCatName val="0"/>
            <c:showSerName val="0"/>
            <c:showPercent val="0"/>
            <c:showBubbleSize val="0"/>
            <c:showLeaderLines val="0"/>
          </c:dLbls>
          <c:cat>
            <c:strRef>
              <c:f>Γ1!$B$2:$Y$2</c:f>
              <c:strCache>
                <c:ptCount val="24"/>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strCache>
            </c:strRef>
          </c:cat>
          <c:val>
            <c:numRef>
              <c:f>Γ1!$B$4:$Y$4</c:f>
              <c:numCache>
                <c:formatCode>0.0</c:formatCode>
                <c:ptCount val="24"/>
                <c:pt idx="0">
                  <c:v>11.723446893787553</c:v>
                </c:pt>
                <c:pt idx="1">
                  <c:v>17.917917917917919</c:v>
                </c:pt>
                <c:pt idx="2">
                  <c:v>24.599999999999994</c:v>
                </c:pt>
                <c:pt idx="3">
                  <c:v>29.700000000000003</c:v>
                </c:pt>
                <c:pt idx="4">
                  <c:v>35.170340681362731</c:v>
                </c:pt>
                <c:pt idx="5">
                  <c:v>41.341341341341348</c:v>
                </c:pt>
                <c:pt idx="6">
                  <c:v>15.700000000000003</c:v>
                </c:pt>
                <c:pt idx="7">
                  <c:v>24.924924924924923</c:v>
                </c:pt>
                <c:pt idx="8">
                  <c:v>30.799999999999997</c:v>
                </c:pt>
                <c:pt idx="9">
                  <c:v>30.992978936810417</c:v>
                </c:pt>
                <c:pt idx="10">
                  <c:v>41.482965931863724</c:v>
                </c:pt>
                <c:pt idx="11">
                  <c:v>46.666666666666664</c:v>
                </c:pt>
                <c:pt idx="12">
                  <c:v>52.958876629889673</c:v>
                </c:pt>
                <c:pt idx="13">
                  <c:v>58.758758758758759</c:v>
                </c:pt>
                <c:pt idx="14">
                  <c:v>61.933534743202422</c:v>
                </c:pt>
                <c:pt idx="15">
                  <c:v>66.365461847389554</c:v>
                </c:pt>
                <c:pt idx="16">
                  <c:v>20.100000000000001</c:v>
                </c:pt>
                <c:pt idx="17">
                  <c:v>20.100000000000001</c:v>
                </c:pt>
                <c:pt idx="18" formatCode="General">
                  <c:v>46.3</c:v>
                </c:pt>
                <c:pt idx="19" formatCode="General">
                  <c:v>52.4</c:v>
                </c:pt>
                <c:pt idx="20">
                  <c:v>54.33467741935484</c:v>
                </c:pt>
                <c:pt idx="21">
                  <c:v>69.469469469469473</c:v>
                </c:pt>
                <c:pt idx="22">
                  <c:v>66.7</c:v>
                </c:pt>
                <c:pt idx="23">
                  <c:v>63.9</c:v>
                </c:pt>
              </c:numCache>
            </c:numRef>
          </c:val>
          <c:smooth val="0"/>
        </c:ser>
        <c:dLbls>
          <c:showLegendKey val="0"/>
          <c:showVal val="0"/>
          <c:showCatName val="0"/>
          <c:showSerName val="0"/>
          <c:showPercent val="0"/>
          <c:showBubbleSize val="0"/>
        </c:dLbls>
        <c:marker val="1"/>
        <c:smooth val="0"/>
        <c:axId val="492525824"/>
        <c:axId val="492560384"/>
      </c:lineChart>
      <c:catAx>
        <c:axId val="492525824"/>
        <c:scaling>
          <c:orientation val="minMax"/>
        </c:scaling>
        <c:delete val="0"/>
        <c:axPos val="b"/>
        <c:majorTickMark val="out"/>
        <c:minorTickMark val="none"/>
        <c:tickLblPos val="nextTo"/>
        <c:txPr>
          <a:bodyPr/>
          <a:lstStyle/>
          <a:p>
            <a:pPr>
              <a:defRPr sz="600"/>
            </a:pPr>
            <a:endParaRPr lang="el-GR"/>
          </a:p>
        </c:txPr>
        <c:crossAx val="492560384"/>
        <c:crosses val="autoZero"/>
        <c:auto val="1"/>
        <c:lblAlgn val="ctr"/>
        <c:lblOffset val="100"/>
        <c:noMultiLvlLbl val="0"/>
      </c:catAx>
      <c:valAx>
        <c:axId val="492560384"/>
        <c:scaling>
          <c:orientation val="minMax"/>
        </c:scaling>
        <c:delete val="0"/>
        <c:axPos val="l"/>
        <c:majorGridlines/>
        <c:numFmt formatCode="0.0" sourceLinked="1"/>
        <c:majorTickMark val="out"/>
        <c:minorTickMark val="none"/>
        <c:tickLblPos val="nextTo"/>
        <c:crossAx val="492525824"/>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ΓΡΑΦΗΜΑ</a:t>
            </a:r>
            <a:r>
              <a:rPr lang="el-GR" sz="1200" baseline="0"/>
              <a:t> 10</a:t>
            </a:r>
          </a:p>
          <a:p>
            <a:pPr>
              <a:defRPr sz="1200"/>
            </a:pPr>
            <a:r>
              <a:rPr lang="el-GR" sz="1200"/>
              <a:t>ΑΠΑΣΧΟΛΗΣΗ</a:t>
            </a:r>
            <a:r>
              <a:rPr lang="el-GR" sz="1200" baseline="0"/>
              <a:t> ΠΡΩΤΟ ΕΞΑΜΗΝΟ 2023 ΑΝΑ ΚΑΤΗΓΟΡΙΑ</a:t>
            </a:r>
            <a:endParaRPr lang="el-GR" sz="1200"/>
          </a:p>
        </c:rich>
      </c:tx>
      <c:overlay val="0"/>
    </c:title>
    <c:autoTitleDeleted val="0"/>
    <c:plotArea>
      <c:layout/>
      <c:barChart>
        <c:barDir val="bar"/>
        <c:grouping val="percentStacked"/>
        <c:varyColors val="0"/>
        <c:ser>
          <c:idx val="0"/>
          <c:order val="0"/>
          <c:tx>
            <c:strRef>
              <c:f>'C:\Users\Thanopoulos\Desktop\KLIMA ΦΕΒΡΟΥΑΡΙΟΣ 2024\ΤΕΛΙΚΑ\[Γραφήματα.xlsx]Γ10'!$B$1</c:f>
              <c:strCache>
                <c:ptCount val="1"/>
                <c:pt idx="0">
                  <c:v>Αυξήθηκε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'C:\Users\Thanopoulos\Desktop\KLIMA ΦΕΒΡΟΥΑΡΙΟΣ 2024\ΤΕΛΙΚΑ\[Γραφήματα.xlsx]Γ10'!$A$2:$A$20</c:f>
              <c:strCache>
                <c:ptCount val="19"/>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ΠΕΡΙΟΧΗ</c:v>
                </c:pt>
                <c:pt idx="10">
                  <c:v>EL1_ATTIKH</c:v>
                </c:pt>
                <c:pt idx="11">
                  <c:v>EL2_ΝΗΣΙΑ ΑΙΓΑΙΟΥ &amp; ΚΡΗΤΗ</c:v>
                </c:pt>
                <c:pt idx="12">
                  <c:v>EL3_ΒΟΡΕΙΑ ΕΛΛΑΔΑ</c:v>
                </c:pt>
                <c:pt idx="13">
                  <c:v>EL4_ΚΕΝΤΡΙΚΗ ΕΛΛΑΔΑ</c:v>
                </c:pt>
                <c:pt idx="14">
                  <c:v>ΑΡ. ΕΡΓΑΖΟΜΕΝΩΝ</c:v>
                </c:pt>
                <c:pt idx="15">
                  <c:v>1 άτομο</c:v>
                </c:pt>
                <c:pt idx="16">
                  <c:v>2-3 άτομα</c:v>
                </c:pt>
                <c:pt idx="17">
                  <c:v>4-5 άτομα</c:v>
                </c:pt>
                <c:pt idx="18">
                  <c:v>Πάνω από 5 άτομα</c:v>
                </c:pt>
              </c:strCache>
            </c:strRef>
          </c:cat>
          <c:val>
            <c:numRef>
              <c:f>'C:\Users\Thanopoulos\Desktop\KLIMA ΦΕΒΡΟΥΑΡΙΟΣ 2024\ΤΕΛΙΚΑ\[Γραφήματα.xlsx]Γ10'!$B$2:$B$20</c:f>
              <c:numCache>
                <c:formatCode>General</c:formatCode>
                <c:ptCount val="19"/>
                <c:pt idx="1">
                  <c:v>6.6</c:v>
                </c:pt>
                <c:pt idx="2">
                  <c:v>7.6</c:v>
                </c:pt>
                <c:pt idx="3">
                  <c:v>8.3000000000000007</c:v>
                </c:pt>
                <c:pt idx="5">
                  <c:v>0.9</c:v>
                </c:pt>
                <c:pt idx="6">
                  <c:v>6.1</c:v>
                </c:pt>
                <c:pt idx="7">
                  <c:v>10</c:v>
                </c:pt>
                <c:pt idx="8">
                  <c:v>19.100000000000001</c:v>
                </c:pt>
                <c:pt idx="10">
                  <c:v>7.7</c:v>
                </c:pt>
                <c:pt idx="11">
                  <c:v>7.7</c:v>
                </c:pt>
                <c:pt idx="12">
                  <c:v>7.8</c:v>
                </c:pt>
                <c:pt idx="13">
                  <c:v>6.5</c:v>
                </c:pt>
                <c:pt idx="15">
                  <c:v>2.9</c:v>
                </c:pt>
                <c:pt idx="16">
                  <c:v>8.6999999999999993</c:v>
                </c:pt>
                <c:pt idx="17">
                  <c:v>13.6</c:v>
                </c:pt>
                <c:pt idx="18">
                  <c:v>22.4</c:v>
                </c:pt>
              </c:numCache>
            </c:numRef>
          </c:val>
          <c:extLst xmlns:c16r2="http://schemas.microsoft.com/office/drawing/2015/06/chart">
            <c:ext xmlns:c16="http://schemas.microsoft.com/office/drawing/2014/chart" uri="{C3380CC4-5D6E-409C-BE32-E72D297353CC}">
              <c16:uniqueId val="{00000000-BE71-479C-BC82-099F21B913B8}"/>
            </c:ext>
          </c:extLst>
        </c:ser>
        <c:ser>
          <c:idx val="1"/>
          <c:order val="1"/>
          <c:tx>
            <c:strRef>
              <c:f>'C:\Users\Thanopoulos\Desktop\KLIMA ΦΕΒΡΟΥΑΡΙΟΣ 2024\ΤΕΛΙΚΑ\[Γραφήματα.xlsx]Γ10'!$C$1</c:f>
              <c:strCache>
                <c:ptCount val="1"/>
                <c:pt idx="0">
                  <c:v>Μειώθηκε</c:v>
                </c:pt>
              </c:strCache>
            </c:strRef>
          </c:tx>
          <c:invertIfNegative val="0"/>
          <c:dLbls>
            <c:dLbl>
              <c:idx val="15"/>
              <c:layout>
                <c:manualLayout>
                  <c:x val="1.13819595940434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71-479C-BC82-099F21B913B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'C:\Users\Thanopoulos\Desktop\KLIMA ΦΕΒΡΟΥΑΡΙΟΣ 2024\ΤΕΛΙΚΑ\[Γραφήματα.xlsx]Γ10'!$A$2:$A$20</c:f>
              <c:strCache>
                <c:ptCount val="19"/>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ΠΕΡΙΟΧΗ</c:v>
                </c:pt>
                <c:pt idx="10">
                  <c:v>EL1_ATTIKH</c:v>
                </c:pt>
                <c:pt idx="11">
                  <c:v>EL2_ΝΗΣΙΑ ΑΙΓΑΙΟΥ &amp; ΚΡΗΤΗ</c:v>
                </c:pt>
                <c:pt idx="12">
                  <c:v>EL3_ΒΟΡΕΙΑ ΕΛΛΑΔΑ</c:v>
                </c:pt>
                <c:pt idx="13">
                  <c:v>EL4_ΚΕΝΤΡΙΚΗ ΕΛΛΑΔΑ</c:v>
                </c:pt>
                <c:pt idx="14">
                  <c:v>ΑΡ. ΕΡΓΑΖΟΜΕΝΩΝ</c:v>
                </c:pt>
                <c:pt idx="15">
                  <c:v>1 άτομο</c:v>
                </c:pt>
                <c:pt idx="16">
                  <c:v>2-3 άτομα</c:v>
                </c:pt>
                <c:pt idx="17">
                  <c:v>4-5 άτομα</c:v>
                </c:pt>
                <c:pt idx="18">
                  <c:v>Πάνω από 5 άτομα</c:v>
                </c:pt>
              </c:strCache>
            </c:strRef>
          </c:cat>
          <c:val>
            <c:numRef>
              <c:f>'C:\Users\Thanopoulos\Desktop\KLIMA ΦΕΒΡΟΥΑΡΙΟΣ 2024\ΤΕΛΙΚΑ\[Γραφήματα.xlsx]Γ10'!$C$2:$C$20</c:f>
              <c:numCache>
                <c:formatCode>General</c:formatCode>
                <c:ptCount val="19"/>
                <c:pt idx="1">
                  <c:v>6</c:v>
                </c:pt>
                <c:pt idx="2">
                  <c:v>9.1999999999999993</c:v>
                </c:pt>
                <c:pt idx="3">
                  <c:v>7.6</c:v>
                </c:pt>
                <c:pt idx="5">
                  <c:v>5</c:v>
                </c:pt>
                <c:pt idx="6">
                  <c:v>6.7</c:v>
                </c:pt>
                <c:pt idx="7">
                  <c:v>14.1</c:v>
                </c:pt>
                <c:pt idx="8">
                  <c:v>8.1</c:v>
                </c:pt>
                <c:pt idx="10">
                  <c:v>6.2</c:v>
                </c:pt>
                <c:pt idx="11">
                  <c:v>9.6</c:v>
                </c:pt>
                <c:pt idx="12">
                  <c:v>9.6999999999999993</c:v>
                </c:pt>
                <c:pt idx="13">
                  <c:v>5.4</c:v>
                </c:pt>
                <c:pt idx="15">
                  <c:v>5</c:v>
                </c:pt>
                <c:pt idx="16">
                  <c:v>9.3000000000000007</c:v>
                </c:pt>
                <c:pt idx="17">
                  <c:v>12.2</c:v>
                </c:pt>
                <c:pt idx="18">
                  <c:v>10.5</c:v>
                </c:pt>
              </c:numCache>
            </c:numRef>
          </c:val>
          <c:extLst xmlns:c16r2="http://schemas.microsoft.com/office/drawing/2015/06/chart">
            <c:ext xmlns:c16="http://schemas.microsoft.com/office/drawing/2014/chart" uri="{C3380CC4-5D6E-409C-BE32-E72D297353CC}">
              <c16:uniqueId val="{00000002-BE71-479C-BC82-099F21B913B8}"/>
            </c:ext>
          </c:extLst>
        </c:ser>
        <c:ser>
          <c:idx val="2"/>
          <c:order val="2"/>
          <c:tx>
            <c:strRef>
              <c:f>'C:\Users\Thanopoulos\Desktop\KLIMA ΦΕΒΡΟΥΑΡΙΟΣ 2024\ΤΕΛΙΚΑ\[Γραφήματα.xlsx]Γ10'!$D$1</c:f>
              <c:strCache>
                <c:ptCount val="1"/>
                <c:pt idx="0">
                  <c:v>Παρέμεινε σταθερό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'C:\Users\Thanopoulos\Desktop\KLIMA ΦΕΒΡΟΥΑΡΙΟΣ 2024\ΤΕΛΙΚΑ\[Γραφήματα.xlsx]Γ10'!$A$2:$A$20</c:f>
              <c:strCache>
                <c:ptCount val="19"/>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ΠΕΡΙΟΧΗ</c:v>
                </c:pt>
                <c:pt idx="10">
                  <c:v>EL1_ATTIKH</c:v>
                </c:pt>
                <c:pt idx="11">
                  <c:v>EL2_ΝΗΣΙΑ ΑΙΓΑΙΟΥ &amp; ΚΡΗΤΗ</c:v>
                </c:pt>
                <c:pt idx="12">
                  <c:v>EL3_ΒΟΡΕΙΑ ΕΛΛΑΔΑ</c:v>
                </c:pt>
                <c:pt idx="13">
                  <c:v>EL4_ΚΕΝΤΡΙΚΗ ΕΛΛΑΔΑ</c:v>
                </c:pt>
                <c:pt idx="14">
                  <c:v>ΑΡ. ΕΡΓΑΖΟΜΕΝΩΝ</c:v>
                </c:pt>
                <c:pt idx="15">
                  <c:v>1 άτομο</c:v>
                </c:pt>
                <c:pt idx="16">
                  <c:v>2-3 άτομα</c:v>
                </c:pt>
                <c:pt idx="17">
                  <c:v>4-5 άτομα</c:v>
                </c:pt>
                <c:pt idx="18">
                  <c:v>Πάνω από 5 άτομα</c:v>
                </c:pt>
              </c:strCache>
            </c:strRef>
          </c:cat>
          <c:val>
            <c:numRef>
              <c:f>'C:\Users\Thanopoulos\Desktop\KLIMA ΦΕΒΡΟΥΑΡΙΟΣ 2024\ΤΕΛΙΚΑ\[Γραφήματα.xlsx]Γ10'!$D$2:$D$20</c:f>
              <c:numCache>
                <c:formatCode>General</c:formatCode>
                <c:ptCount val="19"/>
                <c:pt idx="1">
                  <c:v>86.7</c:v>
                </c:pt>
                <c:pt idx="2">
                  <c:v>82.7</c:v>
                </c:pt>
                <c:pt idx="3">
                  <c:v>83.7</c:v>
                </c:pt>
                <c:pt idx="5">
                  <c:v>93.8</c:v>
                </c:pt>
                <c:pt idx="6">
                  <c:v>86.6</c:v>
                </c:pt>
                <c:pt idx="7">
                  <c:v>75.900000000000006</c:v>
                </c:pt>
                <c:pt idx="8">
                  <c:v>72.7</c:v>
                </c:pt>
                <c:pt idx="10">
                  <c:v>85.3</c:v>
                </c:pt>
                <c:pt idx="11">
                  <c:v>81.8</c:v>
                </c:pt>
                <c:pt idx="12">
                  <c:v>82.1</c:v>
                </c:pt>
                <c:pt idx="13">
                  <c:v>88.2</c:v>
                </c:pt>
                <c:pt idx="15">
                  <c:v>91.5</c:v>
                </c:pt>
                <c:pt idx="16">
                  <c:v>82.1</c:v>
                </c:pt>
                <c:pt idx="17">
                  <c:v>74.400000000000006</c:v>
                </c:pt>
                <c:pt idx="18">
                  <c:v>66.400000000000006</c:v>
                </c:pt>
              </c:numCache>
            </c:numRef>
          </c:val>
          <c:extLst xmlns:c16r2="http://schemas.microsoft.com/office/drawing/2015/06/chart">
            <c:ext xmlns:c16="http://schemas.microsoft.com/office/drawing/2014/chart" uri="{C3380CC4-5D6E-409C-BE32-E72D297353CC}">
              <c16:uniqueId val="{00000003-BE71-479C-BC82-099F21B913B8}"/>
            </c:ext>
          </c:extLst>
        </c:ser>
        <c:dLbls>
          <c:showLegendKey val="0"/>
          <c:showVal val="0"/>
          <c:showCatName val="0"/>
          <c:showSerName val="0"/>
          <c:showPercent val="0"/>
          <c:showBubbleSize val="0"/>
        </c:dLbls>
        <c:gapWidth val="150"/>
        <c:overlap val="100"/>
        <c:axId val="340768256"/>
        <c:axId val="340769792"/>
      </c:barChart>
      <c:catAx>
        <c:axId val="340768256"/>
        <c:scaling>
          <c:orientation val="maxMin"/>
        </c:scaling>
        <c:delete val="0"/>
        <c:axPos val="l"/>
        <c:numFmt formatCode="General" sourceLinked="0"/>
        <c:majorTickMark val="out"/>
        <c:minorTickMark val="none"/>
        <c:tickLblPos val="nextTo"/>
        <c:crossAx val="340769792"/>
        <c:crosses val="autoZero"/>
        <c:auto val="1"/>
        <c:lblAlgn val="ctr"/>
        <c:lblOffset val="100"/>
        <c:noMultiLvlLbl val="0"/>
      </c:catAx>
      <c:valAx>
        <c:axId val="340769792"/>
        <c:scaling>
          <c:orientation val="minMax"/>
        </c:scaling>
        <c:delete val="1"/>
        <c:axPos val="t"/>
        <c:majorGridlines/>
        <c:numFmt formatCode="0%" sourceLinked="1"/>
        <c:majorTickMark val="out"/>
        <c:minorTickMark val="none"/>
        <c:tickLblPos val="nextTo"/>
        <c:crossAx val="340768256"/>
        <c:crosses val="autoZero"/>
        <c:crossBetween val="between"/>
      </c:valAx>
    </c:plotArea>
    <c:legend>
      <c:legendPos val="b"/>
      <c:layout>
        <c:manualLayout>
          <c:xMode val="edge"/>
          <c:yMode val="edge"/>
          <c:x val="0.25775809273840772"/>
          <c:y val="0.88850503062117236"/>
          <c:w val="0.6511504811898513"/>
          <c:h val="8.3717191601049873E-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11 </a:t>
            </a:r>
          </a:p>
          <a:p>
            <a:pPr>
              <a:defRPr sz="1200"/>
            </a:pPr>
            <a:r>
              <a:rPr lang="el-GR" sz="1200" baseline="0"/>
              <a:t>Ποσοστά επιχειρήσεων που πραγματοποίησαν επενδύσεις ανά κατηγορία επενδύσεων το πρώτο εξάμηνο του 2023</a:t>
            </a:r>
          </a:p>
        </c:rich>
      </c:tx>
      <c:overlay val="0"/>
    </c:title>
    <c:autoTitleDeleted val="0"/>
    <c:plotArea>
      <c:layout/>
      <c:barChart>
        <c:barDir val="bar"/>
        <c:grouping val="clustered"/>
        <c:varyColors val="0"/>
        <c:ser>
          <c:idx val="0"/>
          <c:order val="0"/>
          <c:tx>
            <c:strRef>
              <c:f>[Γραφήματα.xlsx]Γ11!$B$1</c:f>
              <c:strCache>
                <c:ptCount val="1"/>
                <c:pt idx="0">
                  <c:v>ΝΑΙ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[Γραφήματα.xlsx]Γ11!$A$2:$A$5</c:f>
              <c:strCache>
                <c:ptCount val="4"/>
                <c:pt idx="0">
                  <c:v>Τεχνολογικό εξοπλισμό και ψηφιακές τεχνολογίες (π.χ. λογισμικό, ψηφιακές συσκευές και εφαρμογές κλπ)</c:v>
                </c:pt>
                <c:pt idx="1">
                  <c:v>Μηχανολογικό εξοπλισμό και λοιπά μηχανήματα (πχ οχήματα)</c:v>
                </c:pt>
                <c:pt idx="2">
                  <c:v>Κτιριακές εγκαταστάσεις και λοιπό εξοπλισμό</c:v>
                </c:pt>
                <c:pt idx="3">
                  <c:v>Κατάρτιση – εκπαίδευση προσωπικού (π.χ. συστήματα πιστοποίησης οργάνωσης και λειτουργίας) </c:v>
                </c:pt>
              </c:strCache>
            </c:strRef>
          </c:cat>
          <c:val>
            <c:numRef>
              <c:f>[Γραφήματα.xlsx]Γ11!$B$2:$B$5</c:f>
              <c:numCache>
                <c:formatCode>General</c:formatCode>
                <c:ptCount val="4"/>
                <c:pt idx="0">
                  <c:v>21.6</c:v>
                </c:pt>
                <c:pt idx="1">
                  <c:v>20.100000000000001</c:v>
                </c:pt>
                <c:pt idx="2">
                  <c:v>9.9</c:v>
                </c:pt>
                <c:pt idx="3">
                  <c:v>8.6</c:v>
                </c:pt>
              </c:numCache>
            </c:numRef>
          </c:val>
          <c:extLst xmlns:c16r2="http://schemas.microsoft.com/office/drawing/2015/06/chart">
            <c:ext xmlns:c16="http://schemas.microsoft.com/office/drawing/2014/chart" uri="{C3380CC4-5D6E-409C-BE32-E72D297353CC}">
              <c16:uniqueId val="{00000000-3680-40F7-AB50-0280BFA3DC92}"/>
            </c:ext>
          </c:extLst>
        </c:ser>
        <c:dLbls>
          <c:showLegendKey val="0"/>
          <c:showVal val="0"/>
          <c:showCatName val="0"/>
          <c:showSerName val="0"/>
          <c:showPercent val="0"/>
          <c:showBubbleSize val="0"/>
        </c:dLbls>
        <c:gapWidth val="150"/>
        <c:axId val="341188608"/>
        <c:axId val="341190144"/>
      </c:barChart>
      <c:catAx>
        <c:axId val="341188608"/>
        <c:scaling>
          <c:orientation val="maxMin"/>
        </c:scaling>
        <c:delete val="0"/>
        <c:axPos val="l"/>
        <c:numFmt formatCode="General" sourceLinked="0"/>
        <c:majorTickMark val="out"/>
        <c:minorTickMark val="none"/>
        <c:tickLblPos val="nextTo"/>
        <c:crossAx val="341190144"/>
        <c:crosses val="autoZero"/>
        <c:auto val="1"/>
        <c:lblAlgn val="ctr"/>
        <c:lblOffset val="100"/>
        <c:noMultiLvlLbl val="0"/>
      </c:catAx>
      <c:valAx>
        <c:axId val="341190144"/>
        <c:scaling>
          <c:orientation val="minMax"/>
        </c:scaling>
        <c:delete val="1"/>
        <c:axPos val="t"/>
        <c:numFmt formatCode="General" sourceLinked="1"/>
        <c:majorTickMark val="out"/>
        <c:minorTickMark val="none"/>
        <c:tickLblPos val="nextTo"/>
        <c:crossAx val="341188608"/>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12</a:t>
            </a:r>
          </a:p>
          <a:p>
            <a:pPr>
              <a:defRPr/>
            </a:pPr>
            <a:r>
              <a:rPr lang="el-GR" sz="1200" baseline="0"/>
              <a:t>Πηγές χρηματοδότησης επενδύσεων </a:t>
            </a:r>
          </a:p>
          <a:p>
            <a:pPr>
              <a:defRPr/>
            </a:pPr>
            <a:r>
              <a:rPr lang="el-GR" sz="1200" baseline="0"/>
              <a:t>- Βάση : όσοι πραγματοποίησαν επενδύσεις-</a:t>
            </a:r>
            <a:endParaRPr lang="el-GR" sz="1200"/>
          </a:p>
        </c:rich>
      </c:tx>
      <c:overlay val="0"/>
    </c:title>
    <c:autoTitleDeleted val="0"/>
    <c:plotArea>
      <c:layout>
        <c:manualLayout>
          <c:layoutTarget val="inner"/>
          <c:xMode val="edge"/>
          <c:yMode val="edge"/>
          <c:x val="0.40373941771696342"/>
          <c:y val="0.18078293827004954"/>
          <c:w val="0.57353167518065173"/>
          <c:h val="0.71752653055772597"/>
        </c:manualLayout>
      </c:layout>
      <c:barChart>
        <c:barDir val="bar"/>
        <c:grouping val="clustered"/>
        <c:varyColors val="0"/>
        <c:ser>
          <c:idx val="0"/>
          <c:order val="0"/>
          <c:tx>
            <c:strRef>
              <c:f>[Γραφήματα.xlsx]Γ12!$B$1</c:f>
              <c:strCache>
                <c:ptCount val="1"/>
                <c:pt idx="0">
                  <c:v>Φεβρουάριος 2024</c:v>
                </c:pt>
              </c:strCache>
            </c:strRef>
          </c:tx>
          <c:invertIfNegative val="0"/>
          <c:cat>
            <c:strRef>
              <c:f>[Γραφήματα.xlsx]Γ12!$A$2:$A$6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[Γραφήματα.xlsx]Γ12!$B$2:$B$6</c:f>
              <c:numCache>
                <c:formatCode>General</c:formatCode>
                <c:ptCount val="5"/>
                <c:pt idx="0">
                  <c:v>84.2</c:v>
                </c:pt>
                <c:pt idx="1">
                  <c:v>5.7</c:v>
                </c:pt>
                <c:pt idx="2">
                  <c:v>3.7</c:v>
                </c:pt>
                <c:pt idx="3">
                  <c:v>2</c:v>
                </c:pt>
                <c:pt idx="4">
                  <c:v>2.6</c:v>
                </c:pt>
              </c:numCache>
            </c:numRef>
          </c:val>
          <c:extLst xmlns:c16r2="http://schemas.microsoft.com/office/drawing/2015/06/chart">
            <c:ext xmlns:c16="http://schemas.microsoft.com/office/drawing/2014/chart" uri="{C3380CC4-5D6E-409C-BE32-E72D297353CC}">
              <c16:uniqueId val="{00000000-EE4A-4863-A631-48F11C950CDF}"/>
            </c:ext>
          </c:extLst>
        </c:ser>
        <c:ser>
          <c:idx val="1"/>
          <c:order val="1"/>
          <c:tx>
            <c:strRef>
              <c:f>[Γραφήματα.xlsx]Γ12!$C$1</c:f>
              <c:strCache>
                <c:ptCount val="1"/>
                <c:pt idx="0">
                  <c:v>Ιούλιος 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[Γραφήματα.xlsx]Γ12!$A$2:$A$6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[Γραφήματα.xlsx]Γ12!$C$2:$C$6</c:f>
              <c:numCache>
                <c:formatCode>General</c:formatCode>
                <c:ptCount val="5"/>
                <c:pt idx="0">
                  <c:v>79.5</c:v>
                </c:pt>
                <c:pt idx="1">
                  <c:v>9.3000000000000007</c:v>
                </c:pt>
                <c:pt idx="2">
                  <c:v>3.9</c:v>
                </c:pt>
                <c:pt idx="3">
                  <c:v>1.9</c:v>
                </c:pt>
                <c:pt idx="4">
                  <c:v>1.2</c:v>
                </c:pt>
              </c:numCache>
            </c:numRef>
          </c:val>
          <c:extLst xmlns:c16r2="http://schemas.microsoft.com/office/drawing/2015/06/chart">
            <c:ext xmlns:c16="http://schemas.microsoft.com/office/drawing/2014/chart" uri="{C3380CC4-5D6E-409C-BE32-E72D297353CC}">
              <c16:uniqueId val="{00000001-EE4A-4863-A631-48F11C950CDF}"/>
            </c:ext>
          </c:extLst>
        </c:ser>
        <c:ser>
          <c:idx val="2"/>
          <c:order val="2"/>
          <c:tx>
            <c:strRef>
              <c:f>[Γραφήματα.xlsx]Γ12!$D$1</c:f>
              <c:strCache>
                <c:ptCount val="1"/>
                <c:pt idx="0">
                  <c:v>Φεβρουάριος 2023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[Γραφήματα.xlsx]Γ12!$A$2:$A$6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[Γραφήματα.xlsx]Γ12!$D$2:$D$6</c:f>
              <c:numCache>
                <c:formatCode>General</c:formatCode>
                <c:ptCount val="5"/>
                <c:pt idx="0">
                  <c:v>80.5</c:v>
                </c:pt>
                <c:pt idx="1">
                  <c:v>11.4</c:v>
                </c:pt>
                <c:pt idx="2">
                  <c:v>3.9</c:v>
                </c:pt>
                <c:pt idx="3">
                  <c:v>0.3</c:v>
                </c:pt>
                <c:pt idx="4">
                  <c:v>1.7</c:v>
                </c:pt>
              </c:numCache>
            </c:numRef>
          </c:val>
          <c:extLst xmlns:c16r2="http://schemas.microsoft.com/office/drawing/2015/06/chart">
            <c:ext xmlns:c16="http://schemas.microsoft.com/office/drawing/2014/chart" uri="{C3380CC4-5D6E-409C-BE32-E72D297353CC}">
              <c16:uniqueId val="{00000002-EE4A-4863-A631-48F11C950CDF}"/>
            </c:ext>
          </c:extLst>
        </c:ser>
        <c:ser>
          <c:idx val="3"/>
          <c:order val="3"/>
          <c:tx>
            <c:strRef>
              <c:f>[Γραφήματα.xlsx]Γ12!$E$1</c:f>
              <c:strCache>
                <c:ptCount val="1"/>
                <c:pt idx="0">
                  <c:v>Ιούλιος 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[Γραφήματα.xlsx]Γ12!$A$2:$A$6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[Γραφήματα.xlsx]Γ12!$E$2:$E$6</c:f>
              <c:numCache>
                <c:formatCode>General</c:formatCode>
                <c:ptCount val="5"/>
                <c:pt idx="0">
                  <c:v>81.3</c:v>
                </c:pt>
                <c:pt idx="1">
                  <c:v>9.6</c:v>
                </c:pt>
                <c:pt idx="2">
                  <c:v>3.8</c:v>
                </c:pt>
                <c:pt idx="3">
                  <c:v>1.7</c:v>
                </c:pt>
                <c:pt idx="4">
                  <c:v>2.5</c:v>
                </c:pt>
              </c:numCache>
            </c:numRef>
          </c:val>
          <c:extLst xmlns:c16r2="http://schemas.microsoft.com/office/drawing/2015/06/chart">
            <c:ext xmlns:c16="http://schemas.microsoft.com/office/drawing/2014/chart" uri="{C3380CC4-5D6E-409C-BE32-E72D297353CC}">
              <c16:uniqueId val="{00000003-EE4A-4863-A631-48F11C950CDF}"/>
            </c:ext>
          </c:extLst>
        </c:ser>
        <c:ser>
          <c:idx val="4"/>
          <c:order val="4"/>
          <c:tx>
            <c:strRef>
              <c:f>[Γραφήματα.xlsx]Γ12!$F$1</c:f>
              <c:strCache>
                <c:ptCount val="1"/>
                <c:pt idx="0">
                  <c:v>Φεβρουάριος 2022</c:v>
                </c:pt>
              </c:strCache>
            </c:strRef>
          </c:tx>
          <c:invertIfNegative val="0"/>
          <c:cat>
            <c:strRef>
              <c:f>[Γραφήματα.xlsx]Γ12!$A$2:$A$6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[Γραφήματα.xlsx]Γ12!$F$2:$F$6</c:f>
              <c:numCache>
                <c:formatCode>General</c:formatCode>
                <c:ptCount val="5"/>
                <c:pt idx="0">
                  <c:v>86.4</c:v>
                </c:pt>
                <c:pt idx="1">
                  <c:v>6</c:v>
                </c:pt>
                <c:pt idx="2">
                  <c:v>3.8</c:v>
                </c:pt>
                <c:pt idx="3">
                  <c:v>1.5</c:v>
                </c:pt>
                <c:pt idx="4">
                  <c:v>1.5</c:v>
                </c:pt>
              </c:numCache>
            </c:numRef>
          </c:val>
          <c:extLst xmlns:c16r2="http://schemas.microsoft.com/office/drawing/2015/06/chart">
            <c:ext xmlns:c16="http://schemas.microsoft.com/office/drawing/2014/chart" uri="{C3380CC4-5D6E-409C-BE32-E72D297353CC}">
              <c16:uniqueId val="{00000001-6E5A-4CB7-847E-CD29383531B1}"/>
            </c:ext>
          </c:extLst>
        </c:ser>
        <c:dLbls>
          <c:showLegendKey val="0"/>
          <c:showVal val="0"/>
          <c:showCatName val="0"/>
          <c:showSerName val="0"/>
          <c:showPercent val="0"/>
          <c:showBubbleSize val="0"/>
        </c:dLbls>
        <c:gapWidth val="150"/>
        <c:axId val="341634432"/>
        <c:axId val="351413376"/>
      </c:barChart>
      <c:catAx>
        <c:axId val="341634432"/>
        <c:scaling>
          <c:orientation val="maxMin"/>
        </c:scaling>
        <c:delete val="0"/>
        <c:axPos val="l"/>
        <c:numFmt formatCode="General" sourceLinked="0"/>
        <c:majorTickMark val="out"/>
        <c:minorTickMark val="none"/>
        <c:tickLblPos val="nextTo"/>
        <c:crossAx val="351413376"/>
        <c:crosses val="autoZero"/>
        <c:auto val="1"/>
        <c:lblAlgn val="ctr"/>
        <c:lblOffset val="100"/>
        <c:noMultiLvlLbl val="0"/>
      </c:catAx>
      <c:valAx>
        <c:axId val="351413376"/>
        <c:scaling>
          <c:orientation val="minMax"/>
        </c:scaling>
        <c:delete val="1"/>
        <c:axPos val="t"/>
        <c:numFmt formatCode="General" sourceLinked="1"/>
        <c:majorTickMark val="out"/>
        <c:minorTickMark val="none"/>
        <c:tickLblPos val="nextTo"/>
        <c:crossAx val="341634432"/>
        <c:crosses val="autoZero"/>
        <c:crossBetween val="between"/>
      </c:valAx>
    </c:plotArea>
    <c:legend>
      <c:legendPos val="b"/>
      <c:overlay val="1"/>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a:t>
            </a:r>
            <a:r>
              <a:rPr lang="en-US" sz="1200" baseline="0"/>
              <a:t>1</a:t>
            </a:r>
            <a:r>
              <a:rPr lang="el-GR" sz="1200" baseline="0"/>
              <a:t>3</a:t>
            </a:r>
          </a:p>
          <a:p>
            <a:pPr>
              <a:defRPr/>
            </a:pPr>
            <a:r>
              <a:rPr lang="el-GR" sz="1200" baseline="0"/>
              <a:t>Τιμές πώλησης αγαθών/υπηρεσίων (ποσοστά επιχειρήσεων)  </a:t>
            </a:r>
          </a:p>
          <a:p>
            <a:pPr>
              <a:defRPr/>
            </a:pPr>
            <a:r>
              <a:rPr lang="el-GR" sz="1200" baseline="0"/>
              <a:t>Αποτίμηση εξαμήνου - Συγκριτικό Γράφημα</a:t>
            </a:r>
          </a:p>
        </c:rich>
      </c:tx>
      <c:layout>
        <c:manualLayout>
          <c:xMode val="edge"/>
          <c:yMode val="edge"/>
          <c:x val="0.1950224504355908"/>
          <c:y val="3.1554950815284068E-2"/>
        </c:manualLayout>
      </c:layout>
      <c:overlay val="0"/>
    </c:title>
    <c:autoTitleDeleted val="0"/>
    <c:plotArea>
      <c:layout/>
      <c:barChart>
        <c:barDir val="col"/>
        <c:grouping val="percentStacked"/>
        <c:varyColors val="0"/>
        <c:ser>
          <c:idx val="0"/>
          <c:order val="0"/>
          <c:tx>
            <c:strRef>
              <c:f>Γ13!$B$1</c:f>
              <c:strCache>
                <c:ptCount val="1"/>
                <c:pt idx="0">
                  <c:v>Αυξήθηκαν</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Γ13!$A$2:$A$10</c:f>
              <c:strCache>
                <c:ptCount val="9"/>
                <c:pt idx="0">
                  <c:v>B 2019</c:v>
                </c:pt>
                <c:pt idx="1">
                  <c:v>A 2020</c:v>
                </c:pt>
                <c:pt idx="2">
                  <c:v>B 2020</c:v>
                </c:pt>
                <c:pt idx="3">
                  <c:v>A 2021</c:v>
                </c:pt>
                <c:pt idx="4">
                  <c:v>B 2021</c:v>
                </c:pt>
                <c:pt idx="5">
                  <c:v>Α 2022</c:v>
                </c:pt>
                <c:pt idx="6">
                  <c:v>Β 2022</c:v>
                </c:pt>
                <c:pt idx="7">
                  <c:v>Α2023</c:v>
                </c:pt>
                <c:pt idx="8">
                  <c:v>Β2023</c:v>
                </c:pt>
              </c:strCache>
            </c:strRef>
          </c:cat>
          <c:val>
            <c:numRef>
              <c:f>Γ13!$B$2:$B$10</c:f>
              <c:numCache>
                <c:formatCode>0.0</c:formatCode>
                <c:ptCount val="9"/>
                <c:pt idx="0">
                  <c:v>8.1999999999999993</c:v>
                </c:pt>
                <c:pt idx="1">
                  <c:v>4.5</c:v>
                </c:pt>
                <c:pt idx="2">
                  <c:v>6.6</c:v>
                </c:pt>
                <c:pt idx="3">
                  <c:v>23.6</c:v>
                </c:pt>
                <c:pt idx="4">
                  <c:v>34.799999999999997</c:v>
                </c:pt>
                <c:pt idx="5">
                  <c:v>59.18</c:v>
                </c:pt>
                <c:pt idx="6">
                  <c:v>49.1</c:v>
                </c:pt>
                <c:pt idx="7">
                  <c:v>43.3</c:v>
                </c:pt>
                <c:pt idx="8">
                  <c:v>33.200000000000003</c:v>
                </c:pt>
              </c:numCache>
            </c:numRef>
          </c:val>
          <c:extLst xmlns:c16r2="http://schemas.microsoft.com/office/drawing/2015/06/chart">
            <c:ext xmlns:c16="http://schemas.microsoft.com/office/drawing/2014/chart" uri="{C3380CC4-5D6E-409C-BE32-E72D297353CC}">
              <c16:uniqueId val="{00000000-FEDA-44A0-A842-B8DB7B25F439}"/>
            </c:ext>
          </c:extLst>
        </c:ser>
        <c:ser>
          <c:idx val="1"/>
          <c:order val="1"/>
          <c:tx>
            <c:strRef>
              <c:f>Γ13!$C$1</c:f>
              <c:strCache>
                <c:ptCount val="1"/>
                <c:pt idx="0">
                  <c:v>Μειώθηκαν</c:v>
                </c:pt>
              </c:strCache>
            </c:strRef>
          </c:tx>
          <c:spPr>
            <a:solidFill>
              <a:schemeClr val="tx2">
                <a:lumMod val="60000"/>
                <a:lumOff val="40000"/>
              </a:schemeClr>
            </a:solidFill>
            <a:ln>
              <a:solidFill>
                <a:schemeClr val="tx2"/>
              </a:solidFill>
            </a:ln>
          </c:spPr>
          <c:invertIfNegative val="0"/>
          <c:dLbls>
            <c:dLbl>
              <c:idx val="3"/>
              <c:layout>
                <c:manualLayout>
                  <c:x val="-3.4970817583714973E-2"/>
                  <c:y val="3.1932779235928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DA-44A0-A842-B8DB7B25F43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Γ13!$A$2:$A$10</c:f>
              <c:strCache>
                <c:ptCount val="9"/>
                <c:pt idx="0">
                  <c:v>B 2019</c:v>
                </c:pt>
                <c:pt idx="1">
                  <c:v>A 2020</c:v>
                </c:pt>
                <c:pt idx="2">
                  <c:v>B 2020</c:v>
                </c:pt>
                <c:pt idx="3">
                  <c:v>A 2021</c:v>
                </c:pt>
                <c:pt idx="4">
                  <c:v>B 2021</c:v>
                </c:pt>
                <c:pt idx="5">
                  <c:v>Α 2022</c:v>
                </c:pt>
                <c:pt idx="6">
                  <c:v>Β 2022</c:v>
                </c:pt>
                <c:pt idx="7">
                  <c:v>Α2023</c:v>
                </c:pt>
                <c:pt idx="8">
                  <c:v>Β2023</c:v>
                </c:pt>
              </c:strCache>
            </c:strRef>
          </c:cat>
          <c:val>
            <c:numRef>
              <c:f>Γ13!$C$2:$C$10</c:f>
              <c:numCache>
                <c:formatCode>0.0</c:formatCode>
                <c:ptCount val="9"/>
                <c:pt idx="0">
                  <c:v>20.100000000000001</c:v>
                </c:pt>
                <c:pt idx="1">
                  <c:v>35.200000000000003</c:v>
                </c:pt>
                <c:pt idx="2">
                  <c:v>31.3</c:v>
                </c:pt>
                <c:pt idx="3">
                  <c:v>16.7</c:v>
                </c:pt>
                <c:pt idx="4">
                  <c:v>9.4</c:v>
                </c:pt>
                <c:pt idx="5">
                  <c:v>7.24</c:v>
                </c:pt>
                <c:pt idx="6">
                  <c:v>6.6</c:v>
                </c:pt>
                <c:pt idx="7">
                  <c:v>9.4</c:v>
                </c:pt>
                <c:pt idx="8">
                  <c:v>6.7</c:v>
                </c:pt>
              </c:numCache>
            </c:numRef>
          </c:val>
          <c:extLst xmlns:c16r2="http://schemas.microsoft.com/office/drawing/2015/06/chart">
            <c:ext xmlns:c16="http://schemas.microsoft.com/office/drawing/2014/chart" uri="{C3380CC4-5D6E-409C-BE32-E72D297353CC}">
              <c16:uniqueId val="{00000002-FEDA-44A0-A842-B8DB7B25F439}"/>
            </c:ext>
          </c:extLst>
        </c:ser>
        <c:ser>
          <c:idx val="2"/>
          <c:order val="2"/>
          <c:tx>
            <c:strRef>
              <c:f>Γ13!$D$1</c:f>
              <c:strCache>
                <c:ptCount val="1"/>
                <c:pt idx="0">
                  <c:v>Αμετάβλητες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Γ13!$A$2:$A$10</c:f>
              <c:strCache>
                <c:ptCount val="9"/>
                <c:pt idx="0">
                  <c:v>B 2019</c:v>
                </c:pt>
                <c:pt idx="1">
                  <c:v>A 2020</c:v>
                </c:pt>
                <c:pt idx="2">
                  <c:v>B 2020</c:v>
                </c:pt>
                <c:pt idx="3">
                  <c:v>A 2021</c:v>
                </c:pt>
                <c:pt idx="4">
                  <c:v>B 2021</c:v>
                </c:pt>
                <c:pt idx="5">
                  <c:v>Α 2022</c:v>
                </c:pt>
                <c:pt idx="6">
                  <c:v>Β 2022</c:v>
                </c:pt>
                <c:pt idx="7">
                  <c:v>Α2023</c:v>
                </c:pt>
                <c:pt idx="8">
                  <c:v>Β2023</c:v>
                </c:pt>
              </c:strCache>
            </c:strRef>
          </c:cat>
          <c:val>
            <c:numRef>
              <c:f>Γ13!$D$2:$D$10</c:f>
              <c:numCache>
                <c:formatCode>0.0</c:formatCode>
                <c:ptCount val="9"/>
                <c:pt idx="0">
                  <c:v>70.8</c:v>
                </c:pt>
                <c:pt idx="1">
                  <c:v>58.9</c:v>
                </c:pt>
                <c:pt idx="2">
                  <c:v>61.7</c:v>
                </c:pt>
                <c:pt idx="3">
                  <c:v>58.3</c:v>
                </c:pt>
                <c:pt idx="4">
                  <c:v>55.6</c:v>
                </c:pt>
                <c:pt idx="5">
                  <c:v>32.71</c:v>
                </c:pt>
                <c:pt idx="6">
                  <c:v>43.9</c:v>
                </c:pt>
                <c:pt idx="7">
                  <c:v>46.3</c:v>
                </c:pt>
                <c:pt idx="8">
                  <c:v>58.6</c:v>
                </c:pt>
              </c:numCache>
            </c:numRef>
          </c:val>
          <c:extLst xmlns:c16r2="http://schemas.microsoft.com/office/drawing/2015/06/chart">
            <c:ext xmlns:c16="http://schemas.microsoft.com/office/drawing/2014/chart" uri="{C3380CC4-5D6E-409C-BE32-E72D297353CC}">
              <c16:uniqueId val="{00000003-FEDA-44A0-A842-B8DB7B25F439}"/>
            </c:ext>
          </c:extLst>
        </c:ser>
        <c:dLbls>
          <c:showLegendKey val="0"/>
          <c:showVal val="0"/>
          <c:showCatName val="0"/>
          <c:showSerName val="0"/>
          <c:showPercent val="0"/>
          <c:showBubbleSize val="0"/>
        </c:dLbls>
        <c:gapWidth val="150"/>
        <c:overlap val="100"/>
        <c:axId val="341427712"/>
        <c:axId val="341429248"/>
      </c:barChart>
      <c:catAx>
        <c:axId val="341427712"/>
        <c:scaling>
          <c:orientation val="minMax"/>
        </c:scaling>
        <c:delete val="0"/>
        <c:axPos val="b"/>
        <c:numFmt formatCode="General" sourceLinked="0"/>
        <c:majorTickMark val="out"/>
        <c:minorTickMark val="none"/>
        <c:tickLblPos val="nextTo"/>
        <c:crossAx val="341429248"/>
        <c:crosses val="autoZero"/>
        <c:auto val="1"/>
        <c:lblAlgn val="ctr"/>
        <c:lblOffset val="100"/>
        <c:noMultiLvlLbl val="0"/>
      </c:catAx>
      <c:valAx>
        <c:axId val="341429248"/>
        <c:scaling>
          <c:orientation val="minMax"/>
        </c:scaling>
        <c:delete val="1"/>
        <c:axPos val="l"/>
        <c:majorGridlines/>
        <c:numFmt formatCode="0%" sourceLinked="1"/>
        <c:majorTickMark val="out"/>
        <c:minorTickMark val="none"/>
        <c:tickLblPos val="nextTo"/>
        <c:crossAx val="341427712"/>
        <c:crosses val="autoZero"/>
        <c:crossBetween val="between"/>
      </c:valAx>
    </c:plotArea>
    <c:legend>
      <c:legendPos val="l"/>
      <c:layout>
        <c:manualLayout>
          <c:xMode val="edge"/>
          <c:yMode val="edge"/>
          <c:x val="1.2468827930174564E-2"/>
          <c:y val="0.2369238547731109"/>
          <c:w val="0.14591539523893679"/>
          <c:h val="0.70409327035349378"/>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14</a:t>
            </a:r>
          </a:p>
          <a:p>
            <a:pPr>
              <a:defRPr sz="1200"/>
            </a:pPr>
            <a:r>
              <a:rPr lang="el-GR" sz="1200"/>
              <a:t>Τα τελευταία 2 έτη (από την έναρξη της ενεργειακής κρίσης) το κόστος λειτουργίας της επιχείρησης σας:</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Γ14!$B$1</c:f>
              <c:strCache>
                <c:ptCount val="1"/>
                <c:pt idx="0">
                  <c:v>Τα τελευταία 2 έτη (από την έναρξη της ενεργειακής κρίσης) το κόστος λειτουργίας της επιχείρησης σας:</c:v>
                </c:pt>
              </c:strCache>
            </c:strRef>
          </c:tx>
          <c:explosion val="25"/>
          <c:dPt>
            <c:idx val="0"/>
            <c:bubble3D val="0"/>
            <c:spPr>
              <a:solidFill>
                <a:srgbClr val="C00000"/>
              </a:solidFill>
            </c:spPr>
          </c:dPt>
          <c:dPt>
            <c:idx val="1"/>
            <c:bubble3D val="0"/>
            <c:spPr>
              <a:solidFill>
                <a:schemeClr val="accent4">
                  <a:lumMod val="40000"/>
                  <a:lumOff val="60000"/>
                </a:schemeClr>
              </a:solidFill>
            </c:spPr>
          </c:dPt>
          <c:dLbls>
            <c:txPr>
              <a:bodyPr/>
              <a:lstStyle/>
              <a:p>
                <a:pPr>
                  <a:defRPr sz="1200" b="1"/>
                </a:pPr>
                <a:endParaRPr lang="el-GR"/>
              </a:p>
            </c:txPr>
            <c:showLegendKey val="0"/>
            <c:showVal val="1"/>
            <c:showCatName val="0"/>
            <c:showSerName val="0"/>
            <c:showPercent val="0"/>
            <c:showBubbleSize val="0"/>
            <c:showLeaderLines val="1"/>
          </c:dLbls>
          <c:cat>
            <c:strRef>
              <c:f>Γ14!$A$2:$A$5</c:f>
              <c:strCache>
                <c:ptCount val="4"/>
                <c:pt idx="0">
                  <c:v>Αυξήθηκε</c:v>
                </c:pt>
                <c:pt idx="1">
                  <c:v>Παρέμεινε σταθερό</c:v>
                </c:pt>
                <c:pt idx="2">
                  <c:v>Μειώθηκε</c:v>
                </c:pt>
                <c:pt idx="3">
                  <c:v>ΔΑ</c:v>
                </c:pt>
              </c:strCache>
            </c:strRef>
          </c:cat>
          <c:val>
            <c:numRef>
              <c:f>Γ14!$B$2:$B$5</c:f>
              <c:numCache>
                <c:formatCode>0.0%</c:formatCode>
                <c:ptCount val="4"/>
                <c:pt idx="0">
                  <c:v>0.87765293383270915</c:v>
                </c:pt>
                <c:pt idx="1">
                  <c:v>0.10237203495630462</c:v>
                </c:pt>
                <c:pt idx="2">
                  <c:v>1.1235955056179775E-2</c:v>
                </c:pt>
                <c:pt idx="3">
                  <c:v>8.7390761548064924E-3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15</a:t>
            </a:r>
          </a:p>
          <a:p>
            <a:pPr>
              <a:defRPr sz="1200"/>
            </a:pPr>
            <a:r>
              <a:rPr lang="el-GR" sz="1200"/>
              <a:t>Βαθμός υπερχρέωσης ΜμΕ</a:t>
            </a:r>
            <a:r>
              <a:rPr lang="el-GR" sz="1200" baseline="0"/>
              <a:t> </a:t>
            </a:r>
          </a:p>
          <a:p>
            <a:pPr>
              <a:defRPr sz="1200"/>
            </a:pPr>
            <a:r>
              <a:rPr lang="el-GR" sz="1200" baseline="0"/>
              <a:t>-Συγκριση εξαμήνων-</a:t>
            </a:r>
            <a:endParaRPr lang="el-GR" sz="1200"/>
          </a:p>
        </c:rich>
      </c:tx>
      <c:overlay val="0"/>
    </c:title>
    <c:autoTitleDeleted val="0"/>
    <c:plotArea>
      <c:layout/>
      <c:barChart>
        <c:barDir val="col"/>
        <c:grouping val="clustered"/>
        <c:varyColors val="0"/>
        <c:ser>
          <c:idx val="0"/>
          <c:order val="0"/>
          <c:tx>
            <c:strRef>
              <c:f>Γ15!$B$1</c:f>
              <c:strCache>
                <c:ptCount val="1"/>
                <c:pt idx="0">
                  <c:v>Β 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Γ15!$B$2:$B$4</c:f>
              <c:numCache>
                <c:formatCode>0.0</c:formatCode>
                <c:ptCount val="3"/>
                <c:pt idx="0">
                  <c:v>13.681592039800995</c:v>
                </c:pt>
                <c:pt idx="1">
                  <c:v>7.2139303482587067</c:v>
                </c:pt>
                <c:pt idx="2">
                  <c:v>17.786069651741293</c:v>
                </c:pt>
              </c:numCache>
            </c:numRef>
          </c:val>
          <c:extLst xmlns:c16r2="http://schemas.microsoft.com/office/drawing/2015/06/chart">
            <c:ext xmlns:c16="http://schemas.microsoft.com/office/drawing/2014/chart" uri="{C3380CC4-5D6E-409C-BE32-E72D297353CC}">
              <c16:uniqueId val="{00000000-FB79-4B0D-80C9-A6D8A29C59AF}"/>
            </c:ext>
          </c:extLst>
        </c:ser>
        <c:ser>
          <c:idx val="1"/>
          <c:order val="1"/>
          <c:tx>
            <c:strRef>
              <c:f>Γ15!$C$1</c:f>
              <c:strCache>
                <c:ptCount val="1"/>
                <c:pt idx="0">
                  <c:v>Α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Γ15!$C$2:$C$4</c:f>
              <c:numCache>
                <c:formatCode>0.0</c:formatCode>
                <c:ptCount val="3"/>
                <c:pt idx="0">
                  <c:v>13.308457711442786</c:v>
                </c:pt>
                <c:pt idx="1">
                  <c:v>7.7114427860696519</c:v>
                </c:pt>
                <c:pt idx="2">
                  <c:v>22.263681592039806</c:v>
                </c:pt>
              </c:numCache>
            </c:numRef>
          </c:val>
          <c:extLst xmlns:c16r2="http://schemas.microsoft.com/office/drawing/2015/06/chart">
            <c:ext xmlns:c16="http://schemas.microsoft.com/office/drawing/2014/chart" uri="{C3380CC4-5D6E-409C-BE32-E72D297353CC}">
              <c16:uniqueId val="{00000001-FB79-4B0D-80C9-A6D8A29C59AF}"/>
            </c:ext>
          </c:extLst>
        </c:ser>
        <c:ser>
          <c:idx val="2"/>
          <c:order val="2"/>
          <c:tx>
            <c:strRef>
              <c:f>Γ15!$D$1</c:f>
              <c:strCache>
                <c:ptCount val="1"/>
                <c:pt idx="0">
                  <c:v>Β 2021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Γ15!$D$2:$D$4</c:f>
              <c:numCache>
                <c:formatCode>General</c:formatCode>
                <c:ptCount val="3"/>
                <c:pt idx="0">
                  <c:v>13.2</c:v>
                </c:pt>
                <c:pt idx="1">
                  <c:v>9.9</c:v>
                </c:pt>
                <c:pt idx="2">
                  <c:v>24.2</c:v>
                </c:pt>
              </c:numCache>
            </c:numRef>
          </c:val>
          <c:extLst xmlns:c16r2="http://schemas.microsoft.com/office/drawing/2015/06/chart">
            <c:ext xmlns:c16="http://schemas.microsoft.com/office/drawing/2014/chart" uri="{C3380CC4-5D6E-409C-BE32-E72D297353CC}">
              <c16:uniqueId val="{00000002-FB79-4B0D-80C9-A6D8A29C59AF}"/>
            </c:ext>
          </c:extLst>
        </c:ser>
        <c:ser>
          <c:idx val="3"/>
          <c:order val="3"/>
          <c:tx>
            <c:strRef>
              <c:f>Γ15!$E$1</c:f>
              <c:strCache>
                <c:ptCount val="1"/>
                <c:pt idx="0">
                  <c:v>Α2022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Γ15!$E$2:$E$4</c:f>
              <c:numCache>
                <c:formatCode>0.0</c:formatCode>
                <c:ptCount val="3"/>
                <c:pt idx="0">
                  <c:v>12.23</c:v>
                </c:pt>
                <c:pt idx="1">
                  <c:v>9.24</c:v>
                </c:pt>
                <c:pt idx="2">
                  <c:v>16.73</c:v>
                </c:pt>
              </c:numCache>
            </c:numRef>
          </c:val>
          <c:extLst xmlns:c16r2="http://schemas.microsoft.com/office/drawing/2015/06/chart">
            <c:ext xmlns:c16="http://schemas.microsoft.com/office/drawing/2014/chart" uri="{C3380CC4-5D6E-409C-BE32-E72D297353CC}">
              <c16:uniqueId val="{00000000-A76E-4500-ADB9-1B0EB04B8A81}"/>
            </c:ext>
          </c:extLst>
        </c:ser>
        <c:ser>
          <c:idx val="4"/>
          <c:order val="4"/>
          <c:tx>
            <c:strRef>
              <c:f>Γ15!$F$1</c:f>
              <c:strCache>
                <c:ptCount val="1"/>
                <c:pt idx="0">
                  <c:v>Β2022</c:v>
                </c:pt>
              </c:strCache>
            </c:strRef>
          </c:tx>
          <c:invertIfNegative val="0"/>
          <c:dLbls>
            <c:showLegendKey val="0"/>
            <c:showVal val="1"/>
            <c:showCatName val="0"/>
            <c:showSerName val="0"/>
            <c:showPercent val="0"/>
            <c:showBubbleSize val="0"/>
            <c:showLeaderLines val="0"/>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Γ15!$F$2:$F$4</c:f>
              <c:numCache>
                <c:formatCode>0.0</c:formatCode>
                <c:ptCount val="3"/>
                <c:pt idx="0">
                  <c:v>13.9</c:v>
                </c:pt>
                <c:pt idx="1">
                  <c:v>6.8</c:v>
                </c:pt>
                <c:pt idx="2">
                  <c:v>16.2</c:v>
                </c:pt>
              </c:numCache>
            </c:numRef>
          </c:val>
        </c:ser>
        <c:ser>
          <c:idx val="5"/>
          <c:order val="5"/>
          <c:tx>
            <c:strRef>
              <c:f>Γ15!$G$1</c:f>
              <c:strCache>
                <c:ptCount val="1"/>
                <c:pt idx="0">
                  <c:v>Α2023</c:v>
                </c:pt>
              </c:strCache>
            </c:strRef>
          </c:tx>
          <c:invertIfNegative val="0"/>
          <c:dLbls>
            <c:showLegendKey val="0"/>
            <c:showVal val="1"/>
            <c:showCatName val="0"/>
            <c:showSerName val="0"/>
            <c:showPercent val="0"/>
            <c:showBubbleSize val="0"/>
            <c:showLeaderLines val="0"/>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Γ15!$G$2:$G$4</c:f>
              <c:numCache>
                <c:formatCode>0.0</c:formatCode>
                <c:ptCount val="3"/>
                <c:pt idx="0">
                  <c:v>9.6</c:v>
                </c:pt>
                <c:pt idx="1">
                  <c:v>5.6</c:v>
                </c:pt>
                <c:pt idx="2">
                  <c:v>12</c:v>
                </c:pt>
              </c:numCache>
            </c:numRef>
          </c:val>
        </c:ser>
        <c:ser>
          <c:idx val="6"/>
          <c:order val="6"/>
          <c:tx>
            <c:strRef>
              <c:f>Γ15!$H$1</c:f>
              <c:strCache>
                <c:ptCount val="1"/>
                <c:pt idx="0">
                  <c:v>Β2023</c:v>
                </c:pt>
              </c:strCache>
            </c:strRef>
          </c:tx>
          <c:invertIfNegative val="0"/>
          <c:dLbls>
            <c:showLegendKey val="0"/>
            <c:showVal val="1"/>
            <c:showCatName val="0"/>
            <c:showSerName val="0"/>
            <c:showPercent val="0"/>
            <c:showBubbleSize val="0"/>
            <c:showLeaderLines val="0"/>
          </c:dLbls>
          <c:cat>
            <c:strRef>
              <c:f>Γ15!$A$2:$A$4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Γ15!$H$2:$H$4</c:f>
              <c:numCache>
                <c:formatCode>0.0</c:formatCode>
                <c:ptCount val="3"/>
                <c:pt idx="0">
                  <c:v>13.11</c:v>
                </c:pt>
                <c:pt idx="1">
                  <c:v>7.37</c:v>
                </c:pt>
                <c:pt idx="2">
                  <c:v>10.11</c:v>
                </c:pt>
              </c:numCache>
            </c:numRef>
          </c:val>
        </c:ser>
        <c:dLbls>
          <c:showLegendKey val="0"/>
          <c:showVal val="0"/>
          <c:showCatName val="0"/>
          <c:showSerName val="0"/>
          <c:showPercent val="0"/>
          <c:showBubbleSize val="0"/>
        </c:dLbls>
        <c:gapWidth val="150"/>
        <c:axId val="341761408"/>
        <c:axId val="341767296"/>
      </c:barChart>
      <c:catAx>
        <c:axId val="341761408"/>
        <c:scaling>
          <c:orientation val="minMax"/>
        </c:scaling>
        <c:delete val="0"/>
        <c:axPos val="b"/>
        <c:numFmt formatCode="General" sourceLinked="0"/>
        <c:majorTickMark val="out"/>
        <c:minorTickMark val="none"/>
        <c:tickLblPos val="nextTo"/>
        <c:crossAx val="341767296"/>
        <c:crosses val="autoZero"/>
        <c:auto val="1"/>
        <c:lblAlgn val="ctr"/>
        <c:lblOffset val="100"/>
        <c:noMultiLvlLbl val="0"/>
      </c:catAx>
      <c:valAx>
        <c:axId val="341767296"/>
        <c:scaling>
          <c:orientation val="minMax"/>
        </c:scaling>
        <c:delete val="1"/>
        <c:axPos val="l"/>
        <c:majorGridlines/>
        <c:numFmt formatCode="0.0" sourceLinked="1"/>
        <c:majorTickMark val="out"/>
        <c:minorTickMark val="none"/>
        <c:tickLblPos val="nextTo"/>
        <c:crossAx val="341761408"/>
        <c:crosses val="autoZero"/>
        <c:crossBetween val="between"/>
      </c:valAx>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16</a:t>
            </a:r>
          </a:p>
          <a:p>
            <a:pPr>
              <a:defRPr sz="1200"/>
            </a:pPr>
            <a:r>
              <a:rPr lang="el-GR" sz="1200" b="1" i="0" baseline="0">
                <a:effectLst/>
              </a:rPr>
              <a:t>Ποσοστό ΜμΕ με καθυστερημένες υποχρεώσεις</a:t>
            </a:r>
            <a:endParaRPr lang="el-GR" sz="1200">
              <a:effectLst/>
            </a:endParaRPr>
          </a:p>
          <a:p>
            <a:pPr>
              <a:defRPr sz="1200"/>
            </a:pPr>
            <a:r>
              <a:rPr lang="el-GR" sz="1200" b="1" i="0" baseline="0">
                <a:effectLst/>
              </a:rPr>
              <a:t>ανά κατηγορία υποχρεώσης (Β εξάμηνο 2023)</a:t>
            </a:r>
            <a:endParaRPr lang="el-GR" sz="1200">
              <a:effectLst/>
            </a:endParaRPr>
          </a:p>
          <a:p>
            <a:pPr>
              <a:defRPr sz="1200"/>
            </a:pPr>
            <a:r>
              <a:rPr lang="el-GR" sz="1200" b="1" i="0" baseline="0">
                <a:effectLst/>
              </a:rPr>
              <a:t>-Αποτίμηση-</a:t>
            </a:r>
            <a:endParaRPr lang="el-GR" sz="1200">
              <a:effectLst/>
            </a:endParaRPr>
          </a:p>
        </c:rich>
      </c:tx>
      <c:overlay val="0"/>
    </c:title>
    <c:autoTitleDeleted val="0"/>
    <c:plotArea>
      <c:layout/>
      <c:barChart>
        <c:barDir val="bar"/>
        <c:grouping val="clustered"/>
        <c:varyColors val="0"/>
        <c:ser>
          <c:idx val="0"/>
          <c:order val="0"/>
          <c:tx>
            <c:strRef>
              <c:f>Φύλλο1!$B$1</c:f>
              <c:strCache>
                <c:ptCount val="1"/>
                <c:pt idx="0">
                  <c:v>Β 2023</c:v>
                </c:pt>
              </c:strCache>
            </c:strRef>
          </c:tx>
          <c:invertIfNegative val="0"/>
          <c:dLbls>
            <c:showLegendKey val="0"/>
            <c:showVal val="1"/>
            <c:showCatName val="0"/>
            <c:showSerName val="0"/>
            <c:showPercent val="0"/>
            <c:showBubbleSize val="0"/>
            <c:showLeaderLines val="0"/>
          </c:dLbls>
          <c:cat>
            <c:strRef>
              <c:f>Φύλλο1!$A$2:$A$9</c:f>
              <c:strCache>
                <c:ptCount val="8"/>
                <c:pt idx="0">
                  <c:v>Σε προμηθευτές</c:v>
                </c:pt>
                <c:pt idx="1">
                  <c:v>Στον πρώην ΟΑΕΕ </c:v>
                </c:pt>
                <c:pt idx="2">
                  <c:v>Στην εφορία </c:v>
                </c:pt>
                <c:pt idx="3">
                  <c:v>Σε λογαριασμούς ενέργειας </c:v>
                </c:pt>
                <c:pt idx="4">
                  <c:v>Για ενοίκιο*</c:v>
                </c:pt>
                <c:pt idx="5">
                  <c:v>Σε λοιπούς λογαριασμούς </c:v>
                </c:pt>
                <c:pt idx="6">
                  <c:v>Στις τράπεζες/ δάνεια*</c:v>
                </c:pt>
                <c:pt idx="7">
                  <c:v>Στο πρώην ΙΚΑ*</c:v>
                </c:pt>
              </c:strCache>
            </c:strRef>
          </c:cat>
          <c:val>
            <c:numRef>
              <c:f>Φύλλο1!$B$2:$B$9</c:f>
              <c:numCache>
                <c:formatCode>General</c:formatCode>
                <c:ptCount val="8"/>
                <c:pt idx="0">
                  <c:v>13.6</c:v>
                </c:pt>
                <c:pt idx="1">
                  <c:v>12.2</c:v>
                </c:pt>
                <c:pt idx="2">
                  <c:v>11.5</c:v>
                </c:pt>
                <c:pt idx="3">
                  <c:v>9.9</c:v>
                </c:pt>
                <c:pt idx="4">
                  <c:v>6.9</c:v>
                </c:pt>
                <c:pt idx="5">
                  <c:v>6.7</c:v>
                </c:pt>
                <c:pt idx="6">
                  <c:v>6.6</c:v>
                </c:pt>
                <c:pt idx="7">
                  <c:v>4.2</c:v>
                </c:pt>
              </c:numCache>
            </c:numRef>
          </c:val>
        </c:ser>
        <c:dLbls>
          <c:showLegendKey val="0"/>
          <c:showVal val="0"/>
          <c:showCatName val="0"/>
          <c:showSerName val="0"/>
          <c:showPercent val="0"/>
          <c:showBubbleSize val="0"/>
        </c:dLbls>
        <c:gapWidth val="150"/>
        <c:axId val="352081408"/>
        <c:axId val="352082944"/>
      </c:barChart>
      <c:catAx>
        <c:axId val="352081408"/>
        <c:scaling>
          <c:orientation val="maxMin"/>
        </c:scaling>
        <c:delete val="0"/>
        <c:axPos val="l"/>
        <c:majorTickMark val="out"/>
        <c:minorTickMark val="none"/>
        <c:tickLblPos val="nextTo"/>
        <c:crossAx val="352082944"/>
        <c:crosses val="autoZero"/>
        <c:auto val="1"/>
        <c:lblAlgn val="ctr"/>
        <c:lblOffset val="100"/>
        <c:noMultiLvlLbl val="0"/>
      </c:catAx>
      <c:valAx>
        <c:axId val="352082944"/>
        <c:scaling>
          <c:orientation val="minMax"/>
        </c:scaling>
        <c:delete val="1"/>
        <c:axPos val="t"/>
        <c:numFmt formatCode="General" sourceLinked="1"/>
        <c:majorTickMark val="out"/>
        <c:minorTickMark val="none"/>
        <c:tickLblPos val="nextTo"/>
        <c:crossAx val="352081408"/>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17</a:t>
            </a:r>
          </a:p>
          <a:p>
            <a:pPr>
              <a:defRPr sz="1200"/>
            </a:pPr>
            <a:r>
              <a:rPr lang="el-GR" sz="1200"/>
              <a:t>Συνολικό ύψος οφειλής/ων </a:t>
            </a:r>
          </a:p>
          <a:p>
            <a:pPr>
              <a:defRPr sz="1200"/>
            </a:pPr>
            <a:r>
              <a:rPr lang="el-GR" sz="800"/>
              <a:t>ΒΑΣΗ: Όσοι έχουν καθυστερημένες οφειλές έστω και σε μια κατηγορία υποχρεώσεων </a:t>
            </a:r>
          </a:p>
        </c:rich>
      </c:tx>
      <c:overlay val="0"/>
    </c:title>
    <c:autoTitleDeleted val="0"/>
    <c:plotArea>
      <c:layout/>
      <c:barChart>
        <c:barDir val="bar"/>
        <c:grouping val="clustered"/>
        <c:varyColors val="0"/>
        <c:ser>
          <c:idx val="0"/>
          <c:order val="0"/>
          <c:tx>
            <c:strRef>
              <c:f>'C:\Users\Thanopoulos\Desktop\KLIMA ΦΕΒΡΟΥΑΡΙΟΣ 2024\ΤΕΛΙΚΑ\[Γραφήματα.xlsx]Γ16'!$B$2</c:f>
              <c:strCache>
                <c:ptCount val="1"/>
                <c:pt idx="0">
                  <c:v>Συνολικό ύψος οφειλής/ων ΒΑΣΗ: Όσοι έχουν καθυστερημένες οφειλές έστω και σε μια κατηγορία υποχρεώσεων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'C:\Users\Thanopoulos\Desktop\KLIMA ΦΕΒΡΟΥΑΡΙΟΣ 2024\ΤΕΛΙΚΑ\[Γραφήματα.xlsx]Γ16'!$A$3:$A$13</c:f>
              <c:strCache>
                <c:ptCount val="11"/>
                <c:pt idx="0">
                  <c:v>Έως 500 ευρώ</c:v>
                </c:pt>
                <c:pt idx="1">
                  <c:v>501-1.000</c:v>
                </c:pt>
                <c:pt idx="2">
                  <c:v>1.001-2.000</c:v>
                </c:pt>
                <c:pt idx="3">
                  <c:v>2.001-4.000</c:v>
                </c:pt>
                <c:pt idx="4">
                  <c:v>4001-5.000</c:v>
                </c:pt>
                <c:pt idx="5">
                  <c:v>5.001-10.000</c:v>
                </c:pt>
                <c:pt idx="6">
                  <c:v>10.001-20.000</c:v>
                </c:pt>
                <c:pt idx="7">
                  <c:v>20.001-50.000</c:v>
                </c:pt>
                <c:pt idx="8">
                  <c:v>50.001-100.000</c:v>
                </c:pt>
                <c:pt idx="9">
                  <c:v>&gt;100.000</c:v>
                </c:pt>
                <c:pt idx="10">
                  <c:v>ΔΑ</c:v>
                </c:pt>
              </c:strCache>
            </c:strRef>
          </c:cat>
          <c:val>
            <c:numRef>
              <c:f>'C:\Users\Thanopoulos\Desktop\KLIMA ΦΕΒΡΟΥΑΡΙΟΣ 2024\ΤΕΛΙΚΑ\[Γραφήματα.xlsx]Γ16'!$B$3:$B$13</c:f>
              <c:numCache>
                <c:formatCode>General</c:formatCode>
                <c:ptCount val="11"/>
                <c:pt idx="0">
                  <c:v>4.0999999999999996</c:v>
                </c:pt>
                <c:pt idx="1">
                  <c:v>6.1</c:v>
                </c:pt>
                <c:pt idx="2">
                  <c:v>6.1</c:v>
                </c:pt>
                <c:pt idx="3">
                  <c:v>9</c:v>
                </c:pt>
                <c:pt idx="4">
                  <c:v>5.3</c:v>
                </c:pt>
                <c:pt idx="5">
                  <c:v>14.7</c:v>
                </c:pt>
                <c:pt idx="6">
                  <c:v>13.5</c:v>
                </c:pt>
                <c:pt idx="7">
                  <c:v>14.7</c:v>
                </c:pt>
                <c:pt idx="8">
                  <c:v>5.7</c:v>
                </c:pt>
                <c:pt idx="9">
                  <c:v>6.9</c:v>
                </c:pt>
                <c:pt idx="10">
                  <c:v>13.9</c:v>
                </c:pt>
              </c:numCache>
            </c:numRef>
          </c:val>
          <c:extLst xmlns:c16r2="http://schemas.microsoft.com/office/drawing/2015/06/chart">
            <c:ext xmlns:c16="http://schemas.microsoft.com/office/drawing/2014/chart" uri="{C3380CC4-5D6E-409C-BE32-E72D297353CC}">
              <c16:uniqueId val="{00000000-2D68-4653-9BA3-7A39F86C5431}"/>
            </c:ext>
          </c:extLst>
        </c:ser>
        <c:dLbls>
          <c:showLegendKey val="0"/>
          <c:showVal val="0"/>
          <c:showCatName val="0"/>
          <c:showSerName val="0"/>
          <c:showPercent val="0"/>
          <c:showBubbleSize val="0"/>
        </c:dLbls>
        <c:gapWidth val="150"/>
        <c:axId val="355732864"/>
        <c:axId val="355746944"/>
      </c:barChart>
      <c:catAx>
        <c:axId val="355732864"/>
        <c:scaling>
          <c:orientation val="maxMin"/>
        </c:scaling>
        <c:delete val="0"/>
        <c:axPos val="l"/>
        <c:numFmt formatCode="General" sourceLinked="0"/>
        <c:majorTickMark val="out"/>
        <c:minorTickMark val="none"/>
        <c:tickLblPos val="nextTo"/>
        <c:crossAx val="355746944"/>
        <c:crosses val="autoZero"/>
        <c:auto val="1"/>
        <c:lblAlgn val="ctr"/>
        <c:lblOffset val="100"/>
        <c:noMultiLvlLbl val="0"/>
      </c:catAx>
      <c:valAx>
        <c:axId val="355746944"/>
        <c:scaling>
          <c:orientation val="minMax"/>
        </c:scaling>
        <c:delete val="1"/>
        <c:axPos val="t"/>
        <c:numFmt formatCode="General" sourceLinked="1"/>
        <c:majorTickMark val="out"/>
        <c:minorTickMark val="none"/>
        <c:tickLblPos val="nextTo"/>
        <c:crossAx val="35573286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18</a:t>
            </a:r>
          </a:p>
          <a:p>
            <a:pPr>
              <a:defRPr sz="1200"/>
            </a:pPr>
            <a:r>
              <a:rPr lang="el-GR" sz="1200" b="1" i="0" baseline="0">
                <a:effectLst/>
              </a:rPr>
              <a:t>Ποσοστό ΜμΕ που δήλωσαν ότι δεν θα μπορέσουν να ανταποκριθούν στις υποχρεώσεις τους το πρώτο εξάμηνο του 2024</a:t>
            </a:r>
            <a:endParaRPr lang="el-GR" sz="1200">
              <a:effectLst/>
            </a:endParaRPr>
          </a:p>
        </c:rich>
      </c:tx>
      <c:overlay val="0"/>
    </c:title>
    <c:autoTitleDeleted val="0"/>
    <c:plotArea>
      <c:layout/>
      <c:barChart>
        <c:barDir val="bar"/>
        <c:grouping val="clustered"/>
        <c:varyColors val="0"/>
        <c:ser>
          <c:idx val="0"/>
          <c:order val="0"/>
          <c:tx>
            <c:strRef>
              <c:f>'Φύλλο1 (2)'!$B$1</c:f>
              <c:strCache>
                <c:ptCount val="1"/>
                <c:pt idx="0">
                  <c:v>Α2024</c:v>
                </c:pt>
              </c:strCache>
            </c:strRef>
          </c:tx>
          <c:invertIfNegative val="0"/>
          <c:dLbls>
            <c:showLegendKey val="0"/>
            <c:showVal val="1"/>
            <c:showCatName val="0"/>
            <c:showSerName val="0"/>
            <c:showPercent val="0"/>
            <c:showBubbleSize val="0"/>
            <c:showLeaderLines val="0"/>
          </c:dLbls>
          <c:cat>
            <c:strRef>
              <c:f>'Φύλλο1 (2)'!$A$2:$A$9</c:f>
              <c:strCache>
                <c:ptCount val="8"/>
                <c:pt idx="0">
                  <c:v>Στον πρώην ΟΑΕΕ </c:v>
                </c:pt>
                <c:pt idx="1">
                  <c:v>Στην εφορία </c:v>
                </c:pt>
                <c:pt idx="2">
                  <c:v>Σε λογαριασμούς ενέργειας </c:v>
                </c:pt>
                <c:pt idx="3">
                  <c:v>Για ενοίκιο*</c:v>
                </c:pt>
                <c:pt idx="4">
                  <c:v>Σε προμηθευτές</c:v>
                </c:pt>
                <c:pt idx="5">
                  <c:v>Σε λοιπούς λογαριασμούς </c:v>
                </c:pt>
                <c:pt idx="6">
                  <c:v>Στις τράπεζες/ δάνεια*</c:v>
                </c:pt>
                <c:pt idx="7">
                  <c:v>Στο πρώην ΙΚΑ*</c:v>
                </c:pt>
              </c:strCache>
            </c:strRef>
          </c:cat>
          <c:val>
            <c:numRef>
              <c:f>'Φύλλο1 (2)'!$B$2:$B$9</c:f>
              <c:numCache>
                <c:formatCode>General</c:formatCode>
                <c:ptCount val="8"/>
                <c:pt idx="0">
                  <c:v>9.6999999999999993</c:v>
                </c:pt>
                <c:pt idx="1">
                  <c:v>8.9</c:v>
                </c:pt>
                <c:pt idx="2">
                  <c:v>7.5</c:v>
                </c:pt>
                <c:pt idx="3">
                  <c:v>6.1</c:v>
                </c:pt>
                <c:pt idx="4">
                  <c:v>5.9</c:v>
                </c:pt>
                <c:pt idx="5">
                  <c:v>4.5999999999999996</c:v>
                </c:pt>
                <c:pt idx="6">
                  <c:v>4.2</c:v>
                </c:pt>
                <c:pt idx="7">
                  <c:v>3.5</c:v>
                </c:pt>
              </c:numCache>
            </c:numRef>
          </c:val>
        </c:ser>
        <c:dLbls>
          <c:showLegendKey val="0"/>
          <c:showVal val="0"/>
          <c:showCatName val="0"/>
          <c:showSerName val="0"/>
          <c:showPercent val="0"/>
          <c:showBubbleSize val="0"/>
        </c:dLbls>
        <c:gapWidth val="150"/>
        <c:axId val="356025472"/>
        <c:axId val="356027008"/>
      </c:barChart>
      <c:catAx>
        <c:axId val="356025472"/>
        <c:scaling>
          <c:orientation val="maxMin"/>
        </c:scaling>
        <c:delete val="0"/>
        <c:axPos val="l"/>
        <c:majorTickMark val="out"/>
        <c:minorTickMark val="none"/>
        <c:tickLblPos val="nextTo"/>
        <c:crossAx val="356027008"/>
        <c:crosses val="autoZero"/>
        <c:auto val="1"/>
        <c:lblAlgn val="ctr"/>
        <c:lblOffset val="100"/>
        <c:noMultiLvlLbl val="0"/>
      </c:catAx>
      <c:valAx>
        <c:axId val="356027008"/>
        <c:scaling>
          <c:orientation val="minMax"/>
        </c:scaling>
        <c:delete val="1"/>
        <c:axPos val="t"/>
        <c:numFmt formatCode="General" sourceLinked="1"/>
        <c:majorTickMark val="out"/>
        <c:minorTickMark val="none"/>
        <c:tickLblPos val="nextTo"/>
        <c:crossAx val="356025472"/>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Γράφημα 19 </a:t>
            </a:r>
          </a:p>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Δείκτες αβεβαιότητας και βιωσιμότητας ΜμΕ</a:t>
            </a:r>
          </a:p>
        </c:rich>
      </c:tx>
      <c:overlay val="0"/>
      <c:spPr>
        <a:noFill/>
        <a:ln>
          <a:noFill/>
        </a:ln>
        <a:effectLst/>
      </c:spPr>
    </c:title>
    <c:autoTitleDeleted val="0"/>
    <c:plotArea>
      <c:layout/>
      <c:barChart>
        <c:barDir val="col"/>
        <c:grouping val="clustered"/>
        <c:varyColors val="0"/>
        <c:ser>
          <c:idx val="0"/>
          <c:order val="0"/>
          <c:tx>
            <c:strRef>
              <c:f>Γ19!$B$1</c:f>
              <c:strCache>
                <c:ptCount val="1"/>
                <c:pt idx="0">
                  <c:v>Δείκτης αβεβαιότητας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Γ19!$A$2:$A$11</c:f>
              <c:strCache>
                <c:ptCount val="10"/>
                <c:pt idx="0">
                  <c:v>ΙΟΥΛ. 2019</c:v>
                </c:pt>
                <c:pt idx="1">
                  <c:v>ΦΕΒ. 2020</c:v>
                </c:pt>
                <c:pt idx="2">
                  <c:v>ΙΟΥΛ. 2020</c:v>
                </c:pt>
                <c:pt idx="3">
                  <c:v>ΦΕΒ. 2021</c:v>
                </c:pt>
                <c:pt idx="4">
                  <c:v>ΙΟΥΛ. 2021</c:v>
                </c:pt>
                <c:pt idx="5">
                  <c:v>ΦΕΒ. 2022</c:v>
                </c:pt>
                <c:pt idx="6">
                  <c:v>ΙΟΥΛ. 2022</c:v>
                </c:pt>
                <c:pt idx="7">
                  <c:v>ΦΕΒ. 2023</c:v>
                </c:pt>
                <c:pt idx="8">
                  <c:v>ΙΟΥΛ. 2023</c:v>
                </c:pt>
                <c:pt idx="9">
                  <c:v>ΦΕΒ.  2024</c:v>
                </c:pt>
              </c:strCache>
            </c:strRef>
          </c:cat>
          <c:val>
            <c:numRef>
              <c:f>Γ19!$B$2:$B$11</c:f>
              <c:numCache>
                <c:formatCode>General</c:formatCode>
                <c:ptCount val="10"/>
                <c:pt idx="0">
                  <c:v>24.1</c:v>
                </c:pt>
                <c:pt idx="1">
                  <c:v>20.9</c:v>
                </c:pt>
                <c:pt idx="2">
                  <c:v>32.700000000000003</c:v>
                </c:pt>
                <c:pt idx="3">
                  <c:v>38.200000000000003</c:v>
                </c:pt>
                <c:pt idx="4">
                  <c:v>36.700000000000003</c:v>
                </c:pt>
                <c:pt idx="5">
                  <c:v>32.799999999999997</c:v>
                </c:pt>
                <c:pt idx="6" formatCode="0.0">
                  <c:v>38.58</c:v>
                </c:pt>
                <c:pt idx="7">
                  <c:v>28.7</c:v>
                </c:pt>
                <c:pt idx="8">
                  <c:v>30.9</c:v>
                </c:pt>
                <c:pt idx="9">
                  <c:v>35.700000000000003</c:v>
                </c:pt>
              </c:numCache>
            </c:numRef>
          </c:val>
          <c:extLst xmlns:c16r2="http://schemas.microsoft.com/office/drawing/2015/06/chart">
            <c:ext xmlns:c16="http://schemas.microsoft.com/office/drawing/2014/chart" uri="{C3380CC4-5D6E-409C-BE32-E72D297353CC}">
              <c16:uniqueId val="{00000000-E57D-40C0-BA3A-00756241A22A}"/>
            </c:ext>
          </c:extLst>
        </c:ser>
        <c:dLbls>
          <c:showLegendKey val="0"/>
          <c:showVal val="0"/>
          <c:showCatName val="0"/>
          <c:showSerName val="0"/>
          <c:showPercent val="0"/>
          <c:showBubbleSize val="0"/>
        </c:dLbls>
        <c:gapWidth val="219"/>
        <c:overlap val="-27"/>
        <c:axId val="355825152"/>
        <c:axId val="355826688"/>
      </c:barChart>
      <c:lineChart>
        <c:grouping val="standard"/>
        <c:varyColors val="0"/>
        <c:ser>
          <c:idx val="1"/>
          <c:order val="1"/>
          <c:tx>
            <c:strRef>
              <c:f>Γ19!$C$1</c:f>
              <c:strCache>
                <c:ptCount val="1"/>
                <c:pt idx="0">
                  <c:v>Δείκτης βιωσιμότητας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Γ19!$A$2:$A$10</c:f>
              <c:strCache>
                <c:ptCount val="9"/>
                <c:pt idx="0">
                  <c:v>ΙΟΥΛ. 2019</c:v>
                </c:pt>
                <c:pt idx="1">
                  <c:v>ΦΕΒ. 2020</c:v>
                </c:pt>
                <c:pt idx="2">
                  <c:v>ΙΟΥΛ. 2020</c:v>
                </c:pt>
                <c:pt idx="3">
                  <c:v>ΦΕΒ. 2021</c:v>
                </c:pt>
                <c:pt idx="4">
                  <c:v>ΙΟΥΛ. 2021</c:v>
                </c:pt>
                <c:pt idx="5">
                  <c:v>ΦΕΒ. 2022</c:v>
                </c:pt>
                <c:pt idx="6">
                  <c:v>ΙΟΥΛ. 2022</c:v>
                </c:pt>
                <c:pt idx="7">
                  <c:v>ΦΕΒ. 2023</c:v>
                </c:pt>
                <c:pt idx="8">
                  <c:v>ΙΟΥΛ. 2023</c:v>
                </c:pt>
              </c:strCache>
            </c:strRef>
          </c:cat>
          <c:val>
            <c:numRef>
              <c:f>Γ19!$C$2:$C$11</c:f>
              <c:numCache>
                <c:formatCode>General</c:formatCode>
                <c:ptCount val="10"/>
                <c:pt idx="0">
                  <c:v>1.7</c:v>
                </c:pt>
                <c:pt idx="1">
                  <c:v>1.4</c:v>
                </c:pt>
                <c:pt idx="2">
                  <c:v>5.9</c:v>
                </c:pt>
                <c:pt idx="3" formatCode="0.0">
                  <c:v>5.9925093632958806</c:v>
                </c:pt>
                <c:pt idx="4">
                  <c:v>4.0999999999999996</c:v>
                </c:pt>
                <c:pt idx="5">
                  <c:v>4.5999999999999996</c:v>
                </c:pt>
                <c:pt idx="6">
                  <c:v>6.5</c:v>
                </c:pt>
                <c:pt idx="7">
                  <c:v>3.6</c:v>
                </c:pt>
                <c:pt idx="8">
                  <c:v>4.7</c:v>
                </c:pt>
                <c:pt idx="9">
                  <c:v>2.2000000000000002</c:v>
                </c:pt>
              </c:numCache>
            </c:numRef>
          </c:val>
          <c:smooth val="0"/>
          <c:extLst xmlns:c16r2="http://schemas.microsoft.com/office/drawing/2015/06/chart">
            <c:ext xmlns:c16="http://schemas.microsoft.com/office/drawing/2014/chart" uri="{C3380CC4-5D6E-409C-BE32-E72D297353CC}">
              <c16:uniqueId val="{00000001-E57D-40C0-BA3A-00756241A22A}"/>
            </c:ext>
          </c:extLst>
        </c:ser>
        <c:dLbls>
          <c:showLegendKey val="0"/>
          <c:showVal val="0"/>
          <c:showCatName val="0"/>
          <c:showSerName val="0"/>
          <c:showPercent val="0"/>
          <c:showBubbleSize val="0"/>
        </c:dLbls>
        <c:marker val="1"/>
        <c:smooth val="0"/>
        <c:axId val="355825152"/>
        <c:axId val="355826688"/>
      </c:lineChart>
      <c:catAx>
        <c:axId val="3558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55826688"/>
        <c:crosses val="autoZero"/>
        <c:auto val="1"/>
        <c:lblAlgn val="ctr"/>
        <c:lblOffset val="100"/>
        <c:noMultiLvlLbl val="0"/>
      </c:catAx>
      <c:valAx>
        <c:axId val="35582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558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a:t>
            </a:r>
          </a:p>
          <a:p>
            <a:pPr>
              <a:defRPr sz="1200"/>
            </a:pPr>
            <a:r>
              <a:rPr lang="el-GR" sz="1200"/>
              <a:t>Δείκτης</a:t>
            </a:r>
            <a:r>
              <a:rPr lang="el-GR" sz="1200" baseline="0"/>
              <a:t> προσδοκιών ΜμΕ</a:t>
            </a:r>
            <a:endParaRPr lang="el-GR" sz="1200"/>
          </a:p>
        </c:rich>
      </c:tx>
      <c:overlay val="0"/>
    </c:title>
    <c:autoTitleDeleted val="0"/>
    <c:plotArea>
      <c:layout/>
      <c:lineChart>
        <c:grouping val="standard"/>
        <c:varyColors val="0"/>
        <c:ser>
          <c:idx val="0"/>
          <c:order val="0"/>
          <c:marker>
            <c:symbol val="none"/>
          </c:marker>
          <c:dLbls>
            <c:txPr>
              <a:bodyPr/>
              <a:lstStyle/>
              <a:p>
                <a:pPr>
                  <a:defRPr sz="800"/>
                </a:pPr>
                <a:endParaRPr lang="el-GR"/>
              </a:p>
            </c:txPr>
            <c:dLblPos val="t"/>
            <c:showLegendKey val="0"/>
            <c:showVal val="1"/>
            <c:showCatName val="0"/>
            <c:showSerName val="0"/>
            <c:showPercent val="0"/>
            <c:showBubbleSize val="0"/>
            <c:showLeaderLines val="0"/>
          </c:dLbls>
          <c:cat>
            <c:strRef>
              <c:f>Γ2!$B$2:$X$2</c:f>
              <c:strCache>
                <c:ptCount val="23"/>
                <c:pt idx="0">
                  <c:v>Α2013</c:v>
                </c:pt>
                <c:pt idx="1">
                  <c:v>Β2013</c:v>
                </c:pt>
                <c:pt idx="2">
                  <c:v>Α2014</c:v>
                </c:pt>
                <c:pt idx="3">
                  <c:v>Β2014</c:v>
                </c:pt>
                <c:pt idx="4">
                  <c:v>Α2015</c:v>
                </c:pt>
                <c:pt idx="5">
                  <c:v>Β2015</c:v>
                </c:pt>
                <c:pt idx="6">
                  <c:v>Α2016</c:v>
                </c:pt>
                <c:pt idx="7">
                  <c:v>Β2016</c:v>
                </c:pt>
                <c:pt idx="8">
                  <c:v>Α2017</c:v>
                </c:pt>
                <c:pt idx="9">
                  <c:v>Β2017</c:v>
                </c:pt>
                <c:pt idx="10">
                  <c:v>Α2018</c:v>
                </c:pt>
                <c:pt idx="11">
                  <c:v>Β2018</c:v>
                </c:pt>
                <c:pt idx="12">
                  <c:v>Α2019</c:v>
                </c:pt>
                <c:pt idx="13">
                  <c:v>Β2019</c:v>
                </c:pt>
                <c:pt idx="14">
                  <c:v>Α2020</c:v>
                </c:pt>
                <c:pt idx="15">
                  <c:v>Β2020</c:v>
                </c:pt>
                <c:pt idx="16">
                  <c:v>Α2021</c:v>
                </c:pt>
                <c:pt idx="17">
                  <c:v>Β2021</c:v>
                </c:pt>
                <c:pt idx="18">
                  <c:v>Α2022</c:v>
                </c:pt>
                <c:pt idx="19">
                  <c:v>Β2022</c:v>
                </c:pt>
                <c:pt idx="20">
                  <c:v>Α2023</c:v>
                </c:pt>
                <c:pt idx="21">
                  <c:v>Β2023</c:v>
                </c:pt>
                <c:pt idx="22">
                  <c:v>Α2024</c:v>
                </c:pt>
              </c:strCache>
            </c:strRef>
          </c:cat>
          <c:val>
            <c:numRef>
              <c:f>Γ2!$B$3:$X$3</c:f>
              <c:numCache>
                <c:formatCode>0.0</c:formatCode>
                <c:ptCount val="23"/>
                <c:pt idx="0">
                  <c:v>17.917917917917919</c:v>
                </c:pt>
                <c:pt idx="1">
                  <c:v>24.599999999999994</c:v>
                </c:pt>
                <c:pt idx="2">
                  <c:v>29.700000000000003</c:v>
                </c:pt>
                <c:pt idx="3">
                  <c:v>35.170340681362731</c:v>
                </c:pt>
                <c:pt idx="4">
                  <c:v>41.341341341341348</c:v>
                </c:pt>
                <c:pt idx="5">
                  <c:v>15.700000000000003</c:v>
                </c:pt>
                <c:pt idx="6">
                  <c:v>24.924924924924923</c:v>
                </c:pt>
                <c:pt idx="7">
                  <c:v>30.799999999999997</c:v>
                </c:pt>
                <c:pt idx="8">
                  <c:v>30.992978936810417</c:v>
                </c:pt>
                <c:pt idx="9">
                  <c:v>41.482965931863724</c:v>
                </c:pt>
                <c:pt idx="10">
                  <c:v>46.666666666666664</c:v>
                </c:pt>
                <c:pt idx="11">
                  <c:v>52.958876629889673</c:v>
                </c:pt>
                <c:pt idx="12">
                  <c:v>58.758758758758759</c:v>
                </c:pt>
                <c:pt idx="13">
                  <c:v>61.933534743202422</c:v>
                </c:pt>
                <c:pt idx="14">
                  <c:v>66.365461847389554</c:v>
                </c:pt>
                <c:pt idx="15">
                  <c:v>20.140986908358514</c:v>
                </c:pt>
                <c:pt idx="16">
                  <c:v>20.12012012012012</c:v>
                </c:pt>
                <c:pt idx="17">
                  <c:v>46.277665995975859</c:v>
                </c:pt>
                <c:pt idx="18">
                  <c:v>52.361809045226131</c:v>
                </c:pt>
                <c:pt idx="19">
                  <c:v>54.33467741935484</c:v>
                </c:pt>
                <c:pt idx="20">
                  <c:v>69.469469469469473</c:v>
                </c:pt>
                <c:pt idx="21">
                  <c:v>66.734279918864104</c:v>
                </c:pt>
                <c:pt idx="22">
                  <c:v>63.891675025075223</c:v>
                </c:pt>
              </c:numCache>
            </c:numRef>
          </c:val>
          <c:smooth val="0"/>
        </c:ser>
        <c:dLbls>
          <c:showLegendKey val="0"/>
          <c:showVal val="0"/>
          <c:showCatName val="0"/>
          <c:showSerName val="0"/>
          <c:showPercent val="0"/>
          <c:showBubbleSize val="0"/>
        </c:dLbls>
        <c:marker val="1"/>
        <c:smooth val="0"/>
        <c:axId val="241152000"/>
        <c:axId val="241153536"/>
      </c:lineChart>
      <c:catAx>
        <c:axId val="241152000"/>
        <c:scaling>
          <c:orientation val="minMax"/>
        </c:scaling>
        <c:delete val="0"/>
        <c:axPos val="b"/>
        <c:majorTickMark val="out"/>
        <c:minorTickMark val="none"/>
        <c:tickLblPos val="nextTo"/>
        <c:txPr>
          <a:bodyPr/>
          <a:lstStyle/>
          <a:p>
            <a:pPr>
              <a:defRPr sz="700"/>
            </a:pPr>
            <a:endParaRPr lang="el-GR"/>
          </a:p>
        </c:txPr>
        <c:crossAx val="241153536"/>
        <c:crosses val="autoZero"/>
        <c:auto val="1"/>
        <c:lblAlgn val="ctr"/>
        <c:lblOffset val="100"/>
        <c:noMultiLvlLbl val="0"/>
      </c:catAx>
      <c:valAx>
        <c:axId val="241153536"/>
        <c:scaling>
          <c:orientation val="minMax"/>
        </c:scaling>
        <c:delete val="0"/>
        <c:axPos val="l"/>
        <c:majorGridlines/>
        <c:numFmt formatCode="0.0" sourceLinked="1"/>
        <c:majorTickMark val="out"/>
        <c:minorTickMark val="none"/>
        <c:tickLblPos val="nextTo"/>
        <c:crossAx val="241152000"/>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l-GR" sz="1100"/>
              <a:t>Γράφημα 20 </a:t>
            </a:r>
          </a:p>
          <a:p>
            <a:pPr>
              <a:defRPr sz="1100"/>
            </a:pPr>
            <a:r>
              <a:rPr lang="el-GR" sz="1100"/>
              <a:t>Ο τεκμαρτός τρόπος φορολόγησης των ατομικών επιχειρήσεων /ελευθέρων επαγγελματιών, εκτός από ενδεχόμενη αύξηση των φορολογικών βαρών, τι άλλες συνέπειες θα έχει ; (έως</a:t>
            </a:r>
            <a:r>
              <a:rPr lang="el-GR" sz="1100" baseline="0"/>
              <a:t> 2 επιλογές)</a:t>
            </a:r>
            <a:endParaRPr lang="el-GR" sz="1100"/>
          </a:p>
        </c:rich>
      </c:tx>
      <c:overlay val="0"/>
    </c:title>
    <c:autoTitleDeleted val="0"/>
    <c:plotArea>
      <c:layout/>
      <c:barChart>
        <c:barDir val="bar"/>
        <c:grouping val="clustered"/>
        <c:varyColors val="0"/>
        <c:ser>
          <c:idx val="0"/>
          <c:order val="0"/>
          <c:tx>
            <c:strRef>
              <c:f>Γ20!$B$1</c:f>
              <c:strCache>
                <c:ptCount val="1"/>
                <c:pt idx="0">
                  <c:v>Ο τεκμαρτός τρόπος φορολόγησης των ατομικών επιχειρήσεων /ελευθέρων επαγγελματιών, εκτός από ενδεχόμενη αύξηση των φορολογικών βαρών, τι άλλες συνέπειες θα έχει </c:v>
                </c:pt>
              </c:strCache>
            </c:strRef>
          </c:tx>
          <c:invertIfNegative val="0"/>
          <c:dLbls>
            <c:showLegendKey val="0"/>
            <c:showVal val="1"/>
            <c:showCatName val="0"/>
            <c:showSerName val="0"/>
            <c:showPercent val="0"/>
            <c:showBubbleSize val="0"/>
            <c:showLeaderLines val="0"/>
          </c:dLbls>
          <c:cat>
            <c:strRef>
              <c:f>Γ20!$A$2:$A$9</c:f>
              <c:strCache>
                <c:ptCount val="8"/>
                <c:pt idx="0">
                  <c:v>Θα οδηγήσει σε κλείσιμο επιχειρήσεων</c:v>
                </c:pt>
                <c:pt idx="1">
                  <c:v>Θα αυξήσει τη φοροδιαφυγή</c:v>
                </c:pt>
                <c:pt idx="2">
                  <c:v>Θα οδηγήσει σε αλλαγή της εταιρικής μορφής των επιχειρήσεων </c:v>
                </c:pt>
                <c:pt idx="3">
                  <c:v>Θα  μειώσει τη φοροδιαφυγή</c:v>
                </c:pt>
                <c:pt idx="4">
                  <c:v>Ούτε θα αυξήσει, ούτε θα μειώσει την φοροδιαφυγή</c:v>
                </c:pt>
                <c:pt idx="5">
                  <c:v>Δεν θα έχει καμία αρνητική επίπτωση</c:v>
                </c:pt>
                <c:pt idx="6">
                  <c:v>Άλλο </c:v>
                </c:pt>
                <c:pt idx="7">
                  <c:v>ΔΞ/ΔΑ</c:v>
                </c:pt>
              </c:strCache>
            </c:strRef>
          </c:cat>
          <c:val>
            <c:numRef>
              <c:f>Γ20!$B$2:$B$9</c:f>
              <c:numCache>
                <c:formatCode>0.0%</c:formatCode>
                <c:ptCount val="8"/>
                <c:pt idx="0">
                  <c:v>0.61048689138576784</c:v>
                </c:pt>
                <c:pt idx="1">
                  <c:v>0.27091136079900124</c:v>
                </c:pt>
                <c:pt idx="2">
                  <c:v>0.17228464419475656</c:v>
                </c:pt>
                <c:pt idx="3">
                  <c:v>7.740324594257178E-2</c:v>
                </c:pt>
                <c:pt idx="4">
                  <c:v>5.118601747815231E-2</c:v>
                </c:pt>
                <c:pt idx="5">
                  <c:v>3.870162297128589E-2</c:v>
                </c:pt>
                <c:pt idx="6">
                  <c:v>1.8726591760299626E-2</c:v>
                </c:pt>
                <c:pt idx="7">
                  <c:v>0.10199999999999999</c:v>
                </c:pt>
              </c:numCache>
            </c:numRef>
          </c:val>
        </c:ser>
        <c:dLbls>
          <c:showLegendKey val="0"/>
          <c:showVal val="0"/>
          <c:showCatName val="0"/>
          <c:showSerName val="0"/>
          <c:showPercent val="0"/>
          <c:showBubbleSize val="0"/>
        </c:dLbls>
        <c:gapWidth val="150"/>
        <c:axId val="356225408"/>
        <c:axId val="356226944"/>
      </c:barChart>
      <c:catAx>
        <c:axId val="356225408"/>
        <c:scaling>
          <c:orientation val="maxMin"/>
        </c:scaling>
        <c:delete val="0"/>
        <c:axPos val="l"/>
        <c:majorTickMark val="out"/>
        <c:minorTickMark val="none"/>
        <c:tickLblPos val="nextTo"/>
        <c:crossAx val="356226944"/>
        <c:crosses val="autoZero"/>
        <c:auto val="1"/>
        <c:lblAlgn val="ctr"/>
        <c:lblOffset val="100"/>
        <c:noMultiLvlLbl val="0"/>
      </c:catAx>
      <c:valAx>
        <c:axId val="356226944"/>
        <c:scaling>
          <c:orientation val="minMax"/>
        </c:scaling>
        <c:delete val="1"/>
        <c:axPos val="t"/>
        <c:numFmt formatCode="0.0%" sourceLinked="1"/>
        <c:majorTickMark val="out"/>
        <c:minorTickMark val="none"/>
        <c:tickLblPos val="nextTo"/>
        <c:crossAx val="35622540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cap="all" baseline="0">
                <a:effectLst/>
              </a:rPr>
              <a:t>γ</a:t>
            </a:r>
            <a:r>
              <a:rPr lang="el-GR" sz="1200" b="1" i="0" baseline="0">
                <a:effectLst/>
              </a:rPr>
              <a:t>ράφημα</a:t>
            </a:r>
            <a:r>
              <a:rPr lang="el-GR" sz="1200" b="1" i="0" cap="all" baseline="0">
                <a:effectLst/>
              </a:rPr>
              <a:t> 3</a:t>
            </a:r>
            <a:endParaRPr lang="el-GR" sz="1200">
              <a:effectLst/>
            </a:endParaRPr>
          </a:p>
          <a:p>
            <a:pPr>
              <a:defRPr/>
            </a:pPr>
            <a:r>
              <a:rPr lang="el-GR" sz="1200" b="1" i="0" cap="all" baseline="0">
                <a:effectLst/>
              </a:rPr>
              <a:t>κυκλοσ ΕΡΓΑΣΙΩΝ - ΑΠΟΤΙΜΗΣΗ ΕΞΑΜΗΝΟΥ</a:t>
            </a:r>
            <a:endParaRPr lang="el-GR" sz="1200">
              <a:effectLst/>
            </a:endParaRPr>
          </a:p>
          <a:p>
            <a:pPr>
              <a:defRPr/>
            </a:pPr>
            <a:r>
              <a:rPr lang="el-GR" sz="1200" b="1" i="0" cap="all" baseline="0">
                <a:effectLst/>
              </a:rPr>
              <a:t>δ</a:t>
            </a:r>
            <a:r>
              <a:rPr lang="el-GR" sz="1200" b="1" i="0" baseline="0">
                <a:effectLst/>
              </a:rPr>
              <a:t>ιαχρονικό</a:t>
            </a:r>
            <a:r>
              <a:rPr lang="el-GR" sz="1200" b="1" i="0" cap="all" baseline="0">
                <a:effectLst/>
              </a:rPr>
              <a:t> γ</a:t>
            </a:r>
            <a:r>
              <a:rPr lang="el-GR" sz="1200" b="1" i="0" baseline="0">
                <a:effectLst/>
              </a:rPr>
              <a:t>ράφημα</a:t>
            </a:r>
            <a:endParaRPr lang="el-GR" sz="1200">
              <a:effectLst/>
            </a:endParaRPr>
          </a:p>
        </c:rich>
      </c:tx>
      <c:overlay val="0"/>
    </c:title>
    <c:autoTitleDeleted val="0"/>
    <c:plotArea>
      <c:layout/>
      <c:barChart>
        <c:barDir val="col"/>
        <c:grouping val="clustered"/>
        <c:varyColors val="0"/>
        <c:ser>
          <c:idx val="0"/>
          <c:order val="0"/>
          <c:tx>
            <c:strRef>
              <c:f>Φύλλο6!$B$1</c:f>
              <c:strCache>
                <c:ptCount val="1"/>
                <c:pt idx="0">
                  <c:v>Αύξηση</c:v>
                </c:pt>
              </c:strCache>
            </c:strRef>
          </c:tx>
          <c:invertIfNegative val="0"/>
          <c:dLbls>
            <c:txPr>
              <a:bodyPr/>
              <a:lstStyle/>
              <a:p>
                <a:pPr>
                  <a:defRPr sz="700"/>
                </a:pPr>
                <a:endParaRPr lang="el-GR"/>
              </a:p>
            </c:txPr>
            <c:showLegendKey val="0"/>
            <c:showVal val="1"/>
            <c:showCatName val="0"/>
            <c:showSerName val="0"/>
            <c:showPercent val="0"/>
            <c:showBubbleSize val="0"/>
            <c:showLeaderLines val="0"/>
          </c:dLbls>
          <c:cat>
            <c:strRef>
              <c:f>Φύλλο6!$A$2:$A$10</c:f>
              <c:strCache>
                <c:ptCount val="9"/>
                <c:pt idx="0">
                  <c:v>Β2019</c:v>
                </c:pt>
                <c:pt idx="1">
                  <c:v>Α2020</c:v>
                </c:pt>
                <c:pt idx="2">
                  <c:v>Β2020</c:v>
                </c:pt>
                <c:pt idx="3">
                  <c:v>Α2021</c:v>
                </c:pt>
                <c:pt idx="4">
                  <c:v>Β2021</c:v>
                </c:pt>
                <c:pt idx="5">
                  <c:v>Α2022</c:v>
                </c:pt>
                <c:pt idx="6">
                  <c:v>Β2022</c:v>
                </c:pt>
                <c:pt idx="7">
                  <c:v>Α2023</c:v>
                </c:pt>
                <c:pt idx="8">
                  <c:v>Β2023</c:v>
                </c:pt>
              </c:strCache>
            </c:strRef>
          </c:cat>
          <c:val>
            <c:numRef>
              <c:f>Φύλλο6!$B$2:$B$10</c:f>
              <c:numCache>
                <c:formatCode>General</c:formatCode>
                <c:ptCount val="9"/>
                <c:pt idx="0">
                  <c:v>29.6</c:v>
                </c:pt>
                <c:pt idx="1">
                  <c:v>5.9</c:v>
                </c:pt>
                <c:pt idx="2">
                  <c:v>11.1</c:v>
                </c:pt>
                <c:pt idx="3">
                  <c:v>20</c:v>
                </c:pt>
                <c:pt idx="4">
                  <c:v>28.1</c:v>
                </c:pt>
                <c:pt idx="5">
                  <c:v>24.2</c:v>
                </c:pt>
                <c:pt idx="6">
                  <c:v>33.299999999999997</c:v>
                </c:pt>
                <c:pt idx="7">
                  <c:v>30.2</c:v>
                </c:pt>
                <c:pt idx="8">
                  <c:v>29.1</c:v>
                </c:pt>
              </c:numCache>
            </c:numRef>
          </c:val>
        </c:ser>
        <c:ser>
          <c:idx val="1"/>
          <c:order val="1"/>
          <c:tx>
            <c:strRef>
              <c:f>Φύλλο6!$C$1</c:f>
              <c:strCache>
                <c:ptCount val="1"/>
                <c:pt idx="0">
                  <c:v>Μείωση</c:v>
                </c:pt>
              </c:strCache>
            </c:strRef>
          </c:tx>
          <c:invertIfNegative val="0"/>
          <c:dLbls>
            <c:txPr>
              <a:bodyPr/>
              <a:lstStyle/>
              <a:p>
                <a:pPr>
                  <a:defRPr sz="700"/>
                </a:pPr>
                <a:endParaRPr lang="el-GR"/>
              </a:p>
            </c:txPr>
            <c:showLegendKey val="0"/>
            <c:showVal val="1"/>
            <c:showCatName val="0"/>
            <c:showSerName val="0"/>
            <c:showPercent val="0"/>
            <c:showBubbleSize val="0"/>
            <c:showLeaderLines val="0"/>
          </c:dLbls>
          <c:cat>
            <c:strRef>
              <c:f>Φύλλο6!$A$2:$A$10</c:f>
              <c:strCache>
                <c:ptCount val="9"/>
                <c:pt idx="0">
                  <c:v>Β2019</c:v>
                </c:pt>
                <c:pt idx="1">
                  <c:v>Α2020</c:v>
                </c:pt>
                <c:pt idx="2">
                  <c:v>Β2020</c:v>
                </c:pt>
                <c:pt idx="3">
                  <c:v>Α2021</c:v>
                </c:pt>
                <c:pt idx="4">
                  <c:v>Β2021</c:v>
                </c:pt>
                <c:pt idx="5">
                  <c:v>Α2022</c:v>
                </c:pt>
                <c:pt idx="6">
                  <c:v>Β2022</c:v>
                </c:pt>
                <c:pt idx="7">
                  <c:v>Α2023</c:v>
                </c:pt>
                <c:pt idx="8">
                  <c:v>Β2023</c:v>
                </c:pt>
              </c:strCache>
            </c:strRef>
          </c:cat>
          <c:val>
            <c:numRef>
              <c:f>Φύλλο6!$C$2:$C$10</c:f>
              <c:numCache>
                <c:formatCode>General</c:formatCode>
                <c:ptCount val="9"/>
                <c:pt idx="0">
                  <c:v>30</c:v>
                </c:pt>
                <c:pt idx="1">
                  <c:v>80.599999999999994</c:v>
                </c:pt>
                <c:pt idx="2">
                  <c:v>70.7</c:v>
                </c:pt>
                <c:pt idx="3">
                  <c:v>55</c:v>
                </c:pt>
                <c:pt idx="4">
                  <c:v>46.5</c:v>
                </c:pt>
                <c:pt idx="5">
                  <c:v>46.3</c:v>
                </c:pt>
                <c:pt idx="6">
                  <c:v>33.299999999999997</c:v>
                </c:pt>
                <c:pt idx="7">
                  <c:v>32.299999999999997</c:v>
                </c:pt>
                <c:pt idx="8">
                  <c:v>34.200000000000003</c:v>
                </c:pt>
              </c:numCache>
            </c:numRef>
          </c:val>
        </c:ser>
        <c:ser>
          <c:idx val="2"/>
          <c:order val="2"/>
          <c:tx>
            <c:strRef>
              <c:f>Φύλλο6!$D$1</c:f>
              <c:strCache>
                <c:ptCount val="1"/>
                <c:pt idx="0">
                  <c:v>Αμετάβλητος</c:v>
                </c:pt>
              </c:strCache>
            </c:strRef>
          </c:tx>
          <c:invertIfNegative val="0"/>
          <c:dLbls>
            <c:txPr>
              <a:bodyPr/>
              <a:lstStyle/>
              <a:p>
                <a:pPr>
                  <a:defRPr sz="700"/>
                </a:pPr>
                <a:endParaRPr lang="el-GR"/>
              </a:p>
            </c:txPr>
            <c:showLegendKey val="0"/>
            <c:showVal val="1"/>
            <c:showCatName val="0"/>
            <c:showSerName val="0"/>
            <c:showPercent val="0"/>
            <c:showBubbleSize val="0"/>
            <c:showLeaderLines val="0"/>
          </c:dLbls>
          <c:cat>
            <c:strRef>
              <c:f>Φύλλο6!$A$2:$A$10</c:f>
              <c:strCache>
                <c:ptCount val="9"/>
                <c:pt idx="0">
                  <c:v>Β2019</c:v>
                </c:pt>
                <c:pt idx="1">
                  <c:v>Α2020</c:v>
                </c:pt>
                <c:pt idx="2">
                  <c:v>Β2020</c:v>
                </c:pt>
                <c:pt idx="3">
                  <c:v>Α2021</c:v>
                </c:pt>
                <c:pt idx="4">
                  <c:v>Β2021</c:v>
                </c:pt>
                <c:pt idx="5">
                  <c:v>Α2022</c:v>
                </c:pt>
                <c:pt idx="6">
                  <c:v>Β2022</c:v>
                </c:pt>
                <c:pt idx="7">
                  <c:v>Α2023</c:v>
                </c:pt>
                <c:pt idx="8">
                  <c:v>Β2023</c:v>
                </c:pt>
              </c:strCache>
            </c:strRef>
          </c:cat>
          <c:val>
            <c:numRef>
              <c:f>Φύλλο6!$D$2:$D$10</c:f>
              <c:numCache>
                <c:formatCode>General</c:formatCode>
                <c:ptCount val="9"/>
                <c:pt idx="0">
                  <c:v>39.9</c:v>
                </c:pt>
                <c:pt idx="1">
                  <c:v>10.8</c:v>
                </c:pt>
                <c:pt idx="2">
                  <c:v>16.899999999999999</c:v>
                </c:pt>
                <c:pt idx="3">
                  <c:v>23</c:v>
                </c:pt>
                <c:pt idx="4">
                  <c:v>23.7</c:v>
                </c:pt>
                <c:pt idx="5">
                  <c:v>26.8</c:v>
                </c:pt>
                <c:pt idx="6">
                  <c:v>32.1</c:v>
                </c:pt>
                <c:pt idx="7">
                  <c:v>35.200000000000003</c:v>
                </c:pt>
                <c:pt idx="8">
                  <c:v>34.6</c:v>
                </c:pt>
              </c:numCache>
            </c:numRef>
          </c:val>
        </c:ser>
        <c:dLbls>
          <c:showLegendKey val="0"/>
          <c:showVal val="1"/>
          <c:showCatName val="0"/>
          <c:showSerName val="0"/>
          <c:showPercent val="0"/>
          <c:showBubbleSize val="0"/>
        </c:dLbls>
        <c:gapWidth val="150"/>
        <c:overlap val="-25"/>
        <c:axId val="339377536"/>
        <c:axId val="339387520"/>
      </c:barChart>
      <c:catAx>
        <c:axId val="339377536"/>
        <c:scaling>
          <c:orientation val="minMax"/>
        </c:scaling>
        <c:delete val="0"/>
        <c:axPos val="b"/>
        <c:majorTickMark val="none"/>
        <c:minorTickMark val="none"/>
        <c:tickLblPos val="nextTo"/>
        <c:crossAx val="339387520"/>
        <c:crosses val="autoZero"/>
        <c:auto val="1"/>
        <c:lblAlgn val="ctr"/>
        <c:lblOffset val="100"/>
        <c:noMultiLvlLbl val="0"/>
      </c:catAx>
      <c:valAx>
        <c:axId val="339387520"/>
        <c:scaling>
          <c:orientation val="minMax"/>
        </c:scaling>
        <c:delete val="1"/>
        <c:axPos val="l"/>
        <c:numFmt formatCode="General" sourceLinked="1"/>
        <c:majorTickMark val="none"/>
        <c:minorTickMark val="none"/>
        <c:tickLblPos val="nextTo"/>
        <c:crossAx val="339377536"/>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4</a:t>
            </a:r>
            <a:endParaRPr lang="el-GR" sz="1200">
              <a:effectLst/>
            </a:endParaRPr>
          </a:p>
          <a:p>
            <a:pPr>
              <a:defRPr sz="1200"/>
            </a:pPr>
            <a:r>
              <a:rPr lang="el-GR" sz="1200" b="1" i="0" baseline="0">
                <a:effectLst/>
              </a:rPr>
              <a:t>ΚΥΚΛΟΣ ΕΡΓΑΣΙΩΝ Β ΕΞΑΜΗΝΟΥ 2023 </a:t>
            </a:r>
          </a:p>
          <a:p>
            <a:pPr>
              <a:defRPr sz="1200"/>
            </a:pPr>
            <a:r>
              <a:rPr lang="el-GR" sz="1200" b="1" i="0" baseline="0">
                <a:effectLst/>
              </a:rPr>
              <a:t>ΑΝΑ ΚΑΤΗΓΟΡΙΑ</a:t>
            </a:r>
            <a:endParaRPr lang="el-GR" sz="1200">
              <a:effectLst/>
            </a:endParaRPr>
          </a:p>
        </c:rich>
      </c:tx>
      <c:overlay val="0"/>
    </c:title>
    <c:autoTitleDeleted val="0"/>
    <c:plotArea>
      <c:layout/>
      <c:barChart>
        <c:barDir val="bar"/>
        <c:grouping val="percentStacked"/>
        <c:varyColors val="0"/>
        <c:ser>
          <c:idx val="0"/>
          <c:order val="0"/>
          <c:tx>
            <c:strRef>
              <c:f>Φύλλο3!$B$1</c:f>
              <c:strCache>
                <c:ptCount val="1"/>
                <c:pt idx="0">
                  <c:v>αυξήθηκε</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Φύλλο3!$A$2:$A$21</c:f>
              <c:strCache>
                <c:ptCount val="20"/>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ΑΡ. ΕΡΓΑΖΟΜΕΝΩΝ</c:v>
                </c:pt>
                <c:pt idx="10">
                  <c:v>Χωρίς προσωπικό</c:v>
                </c:pt>
                <c:pt idx="11">
                  <c:v>1 άτομο</c:v>
                </c:pt>
                <c:pt idx="12">
                  <c:v>2-3 άτομα</c:v>
                </c:pt>
                <c:pt idx="13">
                  <c:v>4-5 άτομα</c:v>
                </c:pt>
                <c:pt idx="14">
                  <c:v>Πάνω από 5 άτομα</c:v>
                </c:pt>
                <c:pt idx="15">
                  <c:v>ΠΕΡΙΟΧΗ</c:v>
                </c:pt>
                <c:pt idx="16">
                  <c:v>EL1_ATTIKH</c:v>
                </c:pt>
                <c:pt idx="17">
                  <c:v>EL2_ΝΗΣΙΑ ΑΙΓΑΙΟΥ &amp; ΚΡΗΤΗ</c:v>
                </c:pt>
                <c:pt idx="18">
                  <c:v>EL3_ΒΟΡΕΙΑ ΕΛΛΑΔΑ</c:v>
                </c:pt>
                <c:pt idx="19">
                  <c:v>EL4_ΚΕΝΤΡΙΚΗ ΕΛΛΑΔΑ</c:v>
                </c:pt>
              </c:strCache>
            </c:strRef>
          </c:cat>
          <c:val>
            <c:numRef>
              <c:f>Φύλλο3!$B$2:$B$21</c:f>
              <c:numCache>
                <c:formatCode>General</c:formatCode>
                <c:ptCount val="20"/>
                <c:pt idx="1">
                  <c:v>25.2</c:v>
                </c:pt>
                <c:pt idx="2">
                  <c:v>28.1</c:v>
                </c:pt>
                <c:pt idx="3">
                  <c:v>33.4</c:v>
                </c:pt>
                <c:pt idx="5">
                  <c:v>20.3</c:v>
                </c:pt>
                <c:pt idx="6">
                  <c:v>25</c:v>
                </c:pt>
                <c:pt idx="7">
                  <c:v>32.200000000000003</c:v>
                </c:pt>
                <c:pt idx="8">
                  <c:v>45.6</c:v>
                </c:pt>
                <c:pt idx="10">
                  <c:v>22.5</c:v>
                </c:pt>
                <c:pt idx="11">
                  <c:v>28.6</c:v>
                </c:pt>
                <c:pt idx="12">
                  <c:v>32.1</c:v>
                </c:pt>
                <c:pt idx="13">
                  <c:v>24.3</c:v>
                </c:pt>
                <c:pt idx="14">
                  <c:v>42</c:v>
                </c:pt>
                <c:pt idx="16">
                  <c:v>30.4</c:v>
                </c:pt>
                <c:pt idx="17">
                  <c:v>33.700000000000003</c:v>
                </c:pt>
                <c:pt idx="18">
                  <c:v>27.1</c:v>
                </c:pt>
                <c:pt idx="19">
                  <c:v>26.9</c:v>
                </c:pt>
              </c:numCache>
            </c:numRef>
          </c:val>
        </c:ser>
        <c:ser>
          <c:idx val="1"/>
          <c:order val="1"/>
          <c:tx>
            <c:strRef>
              <c:f>Φύλλο3!$C$1</c:f>
              <c:strCache>
                <c:ptCount val="1"/>
                <c:pt idx="0">
                  <c:v>μειώθηκε</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Φύλλο3!$A$2:$A$21</c:f>
              <c:strCache>
                <c:ptCount val="20"/>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ΑΡ. ΕΡΓΑΖΟΜΕΝΩΝ</c:v>
                </c:pt>
                <c:pt idx="10">
                  <c:v>Χωρίς προσωπικό</c:v>
                </c:pt>
                <c:pt idx="11">
                  <c:v>1 άτομο</c:v>
                </c:pt>
                <c:pt idx="12">
                  <c:v>2-3 άτομα</c:v>
                </c:pt>
                <c:pt idx="13">
                  <c:v>4-5 άτομα</c:v>
                </c:pt>
                <c:pt idx="14">
                  <c:v>Πάνω από 5 άτομα</c:v>
                </c:pt>
                <c:pt idx="15">
                  <c:v>ΠΕΡΙΟΧΗ</c:v>
                </c:pt>
                <c:pt idx="16">
                  <c:v>EL1_ATTIKH</c:v>
                </c:pt>
                <c:pt idx="17">
                  <c:v>EL2_ΝΗΣΙΑ ΑΙΓΑΙΟΥ &amp; ΚΡΗΤΗ</c:v>
                </c:pt>
                <c:pt idx="18">
                  <c:v>EL3_ΒΟΡΕΙΑ ΕΛΛΑΔΑ</c:v>
                </c:pt>
                <c:pt idx="19">
                  <c:v>EL4_ΚΕΝΤΡΙΚΗ ΕΛΛΑΔΑ</c:v>
                </c:pt>
              </c:strCache>
            </c:strRef>
          </c:cat>
          <c:val>
            <c:numRef>
              <c:f>Φύλλο3!$C$2:$C$21</c:f>
              <c:numCache>
                <c:formatCode>General</c:formatCode>
                <c:ptCount val="20"/>
                <c:pt idx="1">
                  <c:v>40.4</c:v>
                </c:pt>
                <c:pt idx="2">
                  <c:v>30.8</c:v>
                </c:pt>
                <c:pt idx="3">
                  <c:v>30.3</c:v>
                </c:pt>
                <c:pt idx="5">
                  <c:v>43.4</c:v>
                </c:pt>
                <c:pt idx="6">
                  <c:v>37.799999999999997</c:v>
                </c:pt>
                <c:pt idx="7">
                  <c:v>31.5</c:v>
                </c:pt>
                <c:pt idx="8">
                  <c:v>19</c:v>
                </c:pt>
                <c:pt idx="10">
                  <c:v>46.8</c:v>
                </c:pt>
                <c:pt idx="11">
                  <c:v>29.3</c:v>
                </c:pt>
                <c:pt idx="12">
                  <c:v>31.5</c:v>
                </c:pt>
                <c:pt idx="13">
                  <c:v>32.4</c:v>
                </c:pt>
                <c:pt idx="14">
                  <c:v>18.899999999999999</c:v>
                </c:pt>
                <c:pt idx="16">
                  <c:v>33.4</c:v>
                </c:pt>
                <c:pt idx="17">
                  <c:v>23.1</c:v>
                </c:pt>
                <c:pt idx="18">
                  <c:v>35.299999999999997</c:v>
                </c:pt>
                <c:pt idx="19">
                  <c:v>40.299999999999997</c:v>
                </c:pt>
              </c:numCache>
            </c:numRef>
          </c:val>
        </c:ser>
        <c:ser>
          <c:idx val="2"/>
          <c:order val="2"/>
          <c:tx>
            <c:strRef>
              <c:f>Φύλλο3!$D$1</c:f>
              <c:strCache>
                <c:ptCount val="1"/>
                <c:pt idx="0">
                  <c:v>αμετάβλητος/η</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Φύλλο3!$A$2:$A$21</c:f>
              <c:strCache>
                <c:ptCount val="20"/>
                <c:pt idx="0">
                  <c:v>ΚΛΑΔΟΣ</c:v>
                </c:pt>
                <c:pt idx="1">
                  <c:v>Εμπόριο</c:v>
                </c:pt>
                <c:pt idx="2">
                  <c:v>Μεταποίηση- βιοτεχνία</c:v>
                </c:pt>
                <c:pt idx="3">
                  <c:v>Υπηρεσίες</c:v>
                </c:pt>
                <c:pt idx="4">
                  <c:v>ΕΤΗΣΙΟΣ ΤΖΙΡΟΣ</c:v>
                </c:pt>
                <c:pt idx="5">
                  <c:v>Έως 50.000</c:v>
                </c:pt>
                <c:pt idx="6">
                  <c:v>50.000-100.000</c:v>
                </c:pt>
                <c:pt idx="7">
                  <c:v>100.000- 300.000</c:v>
                </c:pt>
                <c:pt idx="8">
                  <c:v>Πάνω από 300.000</c:v>
                </c:pt>
                <c:pt idx="9">
                  <c:v>ΑΡ. ΕΡΓΑΖΟΜΕΝΩΝ</c:v>
                </c:pt>
                <c:pt idx="10">
                  <c:v>Χωρίς προσωπικό</c:v>
                </c:pt>
                <c:pt idx="11">
                  <c:v>1 άτομο</c:v>
                </c:pt>
                <c:pt idx="12">
                  <c:v>2-3 άτομα</c:v>
                </c:pt>
                <c:pt idx="13">
                  <c:v>4-5 άτομα</c:v>
                </c:pt>
                <c:pt idx="14">
                  <c:v>Πάνω από 5 άτομα</c:v>
                </c:pt>
                <c:pt idx="15">
                  <c:v>ΠΕΡΙΟΧΗ</c:v>
                </c:pt>
                <c:pt idx="16">
                  <c:v>EL1_ATTIKH</c:v>
                </c:pt>
                <c:pt idx="17">
                  <c:v>EL2_ΝΗΣΙΑ ΑΙΓΑΙΟΥ &amp; ΚΡΗΤΗ</c:v>
                </c:pt>
                <c:pt idx="18">
                  <c:v>EL3_ΒΟΡΕΙΑ ΕΛΛΑΔΑ</c:v>
                </c:pt>
                <c:pt idx="19">
                  <c:v>EL4_ΚΕΝΤΡΙΚΗ ΕΛΛΑΔΑ</c:v>
                </c:pt>
              </c:strCache>
            </c:strRef>
          </c:cat>
          <c:val>
            <c:numRef>
              <c:f>Φύλλο3!$D$2:$D$21</c:f>
              <c:numCache>
                <c:formatCode>General</c:formatCode>
                <c:ptCount val="20"/>
                <c:pt idx="1">
                  <c:v>31.5</c:v>
                </c:pt>
                <c:pt idx="2">
                  <c:v>38.9</c:v>
                </c:pt>
                <c:pt idx="3">
                  <c:v>35</c:v>
                </c:pt>
                <c:pt idx="5">
                  <c:v>34.799999999999997</c:v>
                </c:pt>
                <c:pt idx="6">
                  <c:v>36</c:v>
                </c:pt>
                <c:pt idx="7">
                  <c:v>34.200000000000003</c:v>
                </c:pt>
                <c:pt idx="8">
                  <c:v>32.700000000000003</c:v>
                </c:pt>
                <c:pt idx="10">
                  <c:v>28.9</c:v>
                </c:pt>
                <c:pt idx="11">
                  <c:v>40</c:v>
                </c:pt>
                <c:pt idx="12">
                  <c:v>36.4</c:v>
                </c:pt>
                <c:pt idx="13">
                  <c:v>39.200000000000003</c:v>
                </c:pt>
                <c:pt idx="14">
                  <c:v>35.700000000000003</c:v>
                </c:pt>
                <c:pt idx="16">
                  <c:v>34.5</c:v>
                </c:pt>
                <c:pt idx="17">
                  <c:v>39.4</c:v>
                </c:pt>
                <c:pt idx="18">
                  <c:v>35.799999999999997</c:v>
                </c:pt>
                <c:pt idx="19">
                  <c:v>30.6</c:v>
                </c:pt>
              </c:numCache>
            </c:numRef>
          </c:val>
        </c:ser>
        <c:dLbls>
          <c:showLegendKey val="0"/>
          <c:showVal val="0"/>
          <c:showCatName val="0"/>
          <c:showSerName val="0"/>
          <c:showPercent val="0"/>
          <c:showBubbleSize val="0"/>
        </c:dLbls>
        <c:gapWidth val="150"/>
        <c:overlap val="100"/>
        <c:axId val="338681856"/>
        <c:axId val="338683392"/>
      </c:barChart>
      <c:catAx>
        <c:axId val="338681856"/>
        <c:scaling>
          <c:orientation val="maxMin"/>
        </c:scaling>
        <c:delete val="0"/>
        <c:axPos val="l"/>
        <c:majorTickMark val="out"/>
        <c:minorTickMark val="none"/>
        <c:tickLblPos val="nextTo"/>
        <c:crossAx val="338683392"/>
        <c:crosses val="autoZero"/>
        <c:auto val="1"/>
        <c:lblAlgn val="ctr"/>
        <c:lblOffset val="100"/>
        <c:noMultiLvlLbl val="0"/>
      </c:catAx>
      <c:valAx>
        <c:axId val="338683392"/>
        <c:scaling>
          <c:orientation val="minMax"/>
        </c:scaling>
        <c:delete val="1"/>
        <c:axPos val="t"/>
        <c:majorGridlines/>
        <c:numFmt formatCode="0%" sourceLinked="1"/>
        <c:majorTickMark val="out"/>
        <c:minorTickMark val="none"/>
        <c:tickLblPos val="nextTo"/>
        <c:crossAx val="33868185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5</a:t>
            </a:r>
            <a:endParaRPr lang="el-GR" sz="1200">
              <a:effectLst/>
            </a:endParaRPr>
          </a:p>
          <a:p>
            <a:pPr>
              <a:defRPr sz="1200"/>
            </a:pPr>
            <a:r>
              <a:rPr lang="el-GR" sz="1200" b="1" i="0" baseline="0">
                <a:effectLst/>
              </a:rPr>
              <a:t>Σύγκριση αποτελεσμάτων χρήσης ΜμΕ 5 τελευταίων ετών</a:t>
            </a:r>
            <a:endParaRPr lang="el-GR" sz="1200">
              <a:effectLst/>
            </a:endParaRPr>
          </a:p>
        </c:rich>
      </c:tx>
      <c:overlay val="0"/>
    </c:title>
    <c:autoTitleDeleted val="0"/>
    <c:plotArea>
      <c:layout/>
      <c:barChart>
        <c:barDir val="col"/>
        <c:grouping val="clustered"/>
        <c:varyColors val="0"/>
        <c:ser>
          <c:idx val="0"/>
          <c:order val="0"/>
          <c:tx>
            <c:strRef>
              <c:f>Γ5!$A$2</c:f>
              <c:strCache>
                <c:ptCount val="1"/>
                <c:pt idx="0">
                  <c:v>Με ζημιές</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Γ5!$B$1:$F$1</c:f>
              <c:strCache>
                <c:ptCount val="5"/>
                <c:pt idx="0">
                  <c:v>Χρήση 2019</c:v>
                </c:pt>
                <c:pt idx="1">
                  <c:v>Χρήση 2020</c:v>
                </c:pt>
                <c:pt idx="2">
                  <c:v>Χρήση 2021</c:v>
                </c:pt>
                <c:pt idx="3">
                  <c:v>Χρήση 2022</c:v>
                </c:pt>
                <c:pt idx="4">
                  <c:v>Χρήση 2023</c:v>
                </c:pt>
              </c:strCache>
            </c:strRef>
          </c:cat>
          <c:val>
            <c:numRef>
              <c:f>Γ5!$B$2:$F$2</c:f>
              <c:numCache>
                <c:formatCode>General</c:formatCode>
                <c:ptCount val="5"/>
                <c:pt idx="0">
                  <c:v>27.6</c:v>
                </c:pt>
                <c:pt idx="1">
                  <c:v>47.8</c:v>
                </c:pt>
                <c:pt idx="2">
                  <c:v>36</c:v>
                </c:pt>
                <c:pt idx="3">
                  <c:v>22.4</c:v>
                </c:pt>
                <c:pt idx="4">
                  <c:v>19.2</c:v>
                </c:pt>
              </c:numCache>
            </c:numRef>
          </c:val>
        </c:ser>
        <c:ser>
          <c:idx val="1"/>
          <c:order val="1"/>
          <c:tx>
            <c:strRef>
              <c:f>Γ5!$A$3</c:f>
              <c:strCache>
                <c:ptCount val="1"/>
                <c:pt idx="0">
                  <c:v>Ουτε ζημιές ούτε κέρδη</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Γ5!$B$1:$F$1</c:f>
              <c:strCache>
                <c:ptCount val="5"/>
                <c:pt idx="0">
                  <c:v>Χρήση 2019</c:v>
                </c:pt>
                <c:pt idx="1">
                  <c:v>Χρήση 2020</c:v>
                </c:pt>
                <c:pt idx="2">
                  <c:v>Χρήση 2021</c:v>
                </c:pt>
                <c:pt idx="3">
                  <c:v>Χρήση 2022</c:v>
                </c:pt>
                <c:pt idx="4">
                  <c:v>Χρήση 2023</c:v>
                </c:pt>
              </c:strCache>
            </c:strRef>
          </c:cat>
          <c:val>
            <c:numRef>
              <c:f>Γ5!$B$3:$F$3</c:f>
              <c:numCache>
                <c:formatCode>General</c:formatCode>
                <c:ptCount val="5"/>
                <c:pt idx="0">
                  <c:v>8.5</c:v>
                </c:pt>
                <c:pt idx="1">
                  <c:v>16.100000000000001</c:v>
                </c:pt>
                <c:pt idx="2">
                  <c:v>17.3</c:v>
                </c:pt>
                <c:pt idx="3">
                  <c:v>16.100000000000001</c:v>
                </c:pt>
                <c:pt idx="4">
                  <c:v>13.7</c:v>
                </c:pt>
              </c:numCache>
            </c:numRef>
          </c:val>
        </c:ser>
        <c:ser>
          <c:idx val="2"/>
          <c:order val="2"/>
          <c:tx>
            <c:strRef>
              <c:f>Γ5!$A$4</c:f>
              <c:strCache>
                <c:ptCount val="1"/>
                <c:pt idx="0">
                  <c:v>Με κέρδη</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Γ5!$B$1:$F$1</c:f>
              <c:strCache>
                <c:ptCount val="5"/>
                <c:pt idx="0">
                  <c:v>Χρήση 2019</c:v>
                </c:pt>
                <c:pt idx="1">
                  <c:v>Χρήση 2020</c:v>
                </c:pt>
                <c:pt idx="2">
                  <c:v>Χρήση 2021</c:v>
                </c:pt>
                <c:pt idx="3">
                  <c:v>Χρήση 2022</c:v>
                </c:pt>
                <c:pt idx="4">
                  <c:v>Χρήση 2023</c:v>
                </c:pt>
              </c:strCache>
            </c:strRef>
          </c:cat>
          <c:val>
            <c:numRef>
              <c:f>Γ5!$B$4:$F$4</c:f>
              <c:numCache>
                <c:formatCode>General</c:formatCode>
                <c:ptCount val="5"/>
                <c:pt idx="0">
                  <c:v>55.2</c:v>
                </c:pt>
                <c:pt idx="1">
                  <c:v>27.3</c:v>
                </c:pt>
                <c:pt idx="2">
                  <c:v>37.5</c:v>
                </c:pt>
                <c:pt idx="3">
                  <c:v>51</c:v>
                </c:pt>
                <c:pt idx="4">
                  <c:v>57.3</c:v>
                </c:pt>
              </c:numCache>
            </c:numRef>
          </c:val>
        </c:ser>
        <c:ser>
          <c:idx val="3"/>
          <c:order val="3"/>
          <c:tx>
            <c:strRef>
              <c:f>Γ5!$A$5</c:f>
              <c:strCache>
                <c:ptCount val="1"/>
                <c:pt idx="0">
                  <c:v>ΔΑ</c:v>
                </c:pt>
              </c:strCache>
            </c:strRef>
          </c:tx>
          <c:invertIfNegative val="0"/>
          <c:dLbls>
            <c:txPr>
              <a:bodyPr/>
              <a:lstStyle/>
              <a:p>
                <a:pPr>
                  <a:defRPr b="1"/>
                </a:pPr>
                <a:endParaRPr lang="el-GR"/>
              </a:p>
            </c:txPr>
            <c:showLegendKey val="0"/>
            <c:showVal val="1"/>
            <c:showCatName val="0"/>
            <c:showSerName val="0"/>
            <c:showPercent val="0"/>
            <c:showBubbleSize val="0"/>
            <c:showLeaderLines val="0"/>
          </c:dLbls>
          <c:cat>
            <c:strRef>
              <c:f>Γ5!$B$1:$F$1</c:f>
              <c:strCache>
                <c:ptCount val="5"/>
                <c:pt idx="0">
                  <c:v>Χρήση 2019</c:v>
                </c:pt>
                <c:pt idx="1">
                  <c:v>Χρήση 2020</c:v>
                </c:pt>
                <c:pt idx="2">
                  <c:v>Χρήση 2021</c:v>
                </c:pt>
                <c:pt idx="3">
                  <c:v>Χρήση 2022</c:v>
                </c:pt>
                <c:pt idx="4">
                  <c:v>Χρήση 2023</c:v>
                </c:pt>
              </c:strCache>
            </c:strRef>
          </c:cat>
          <c:val>
            <c:numRef>
              <c:f>Γ5!$B$5:$F$5</c:f>
              <c:numCache>
                <c:formatCode>General</c:formatCode>
                <c:ptCount val="5"/>
                <c:pt idx="0">
                  <c:v>8.6999999999999993</c:v>
                </c:pt>
                <c:pt idx="1">
                  <c:v>8.8000000000000007</c:v>
                </c:pt>
                <c:pt idx="2">
                  <c:v>9.1</c:v>
                </c:pt>
                <c:pt idx="3">
                  <c:v>10.5</c:v>
                </c:pt>
                <c:pt idx="4">
                  <c:v>9.6999999999999993</c:v>
                </c:pt>
              </c:numCache>
            </c:numRef>
          </c:val>
        </c:ser>
        <c:dLbls>
          <c:showLegendKey val="0"/>
          <c:showVal val="0"/>
          <c:showCatName val="0"/>
          <c:showSerName val="0"/>
          <c:showPercent val="0"/>
          <c:showBubbleSize val="0"/>
        </c:dLbls>
        <c:gapWidth val="150"/>
        <c:axId val="339183104"/>
        <c:axId val="339184640"/>
      </c:barChart>
      <c:catAx>
        <c:axId val="339183104"/>
        <c:scaling>
          <c:orientation val="minMax"/>
        </c:scaling>
        <c:delete val="0"/>
        <c:axPos val="b"/>
        <c:majorTickMark val="out"/>
        <c:minorTickMark val="none"/>
        <c:tickLblPos val="nextTo"/>
        <c:crossAx val="339184640"/>
        <c:crosses val="autoZero"/>
        <c:auto val="1"/>
        <c:lblAlgn val="ctr"/>
        <c:lblOffset val="100"/>
        <c:noMultiLvlLbl val="0"/>
      </c:catAx>
      <c:valAx>
        <c:axId val="339184640"/>
        <c:scaling>
          <c:orientation val="minMax"/>
        </c:scaling>
        <c:delete val="0"/>
        <c:axPos val="l"/>
        <c:majorGridlines/>
        <c:numFmt formatCode="General" sourceLinked="1"/>
        <c:majorTickMark val="out"/>
        <c:minorTickMark val="none"/>
        <c:tickLblPos val="nextTo"/>
        <c:crossAx val="339183104"/>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ΓΡΑΦΗΜΑ 6</a:t>
            </a:r>
          </a:p>
          <a:p>
            <a:pPr>
              <a:defRPr sz="1200"/>
            </a:pPr>
            <a:r>
              <a:rPr lang="el-GR" sz="1200" b="1" i="0" baseline="0">
                <a:effectLst/>
              </a:rPr>
              <a:t>ΖΗΤΗΣΗ</a:t>
            </a:r>
            <a:r>
              <a:rPr lang="en-US" sz="1200" b="1" i="0" baseline="0">
                <a:effectLst/>
              </a:rPr>
              <a:t> -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'ΓΡΑΦΗΜΑ 6'!$B$1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6'!$A$3:$A$17</c:f>
              <c:strCache>
                <c:ptCount val="15"/>
                <c:pt idx="0">
                  <c:v>Β2016</c:v>
                </c:pt>
                <c:pt idx="1">
                  <c:v>Α2017</c:v>
                </c:pt>
                <c:pt idx="2">
                  <c:v>Β2017</c:v>
                </c:pt>
                <c:pt idx="3">
                  <c:v>Α2018</c:v>
                </c:pt>
                <c:pt idx="4">
                  <c:v>Β2018</c:v>
                </c:pt>
                <c:pt idx="5">
                  <c:v>Α2019</c:v>
                </c:pt>
                <c:pt idx="6">
                  <c:v>Β2019</c:v>
                </c:pt>
                <c:pt idx="7">
                  <c:v>Α2020</c:v>
                </c:pt>
                <c:pt idx="8">
                  <c:v>Β2020</c:v>
                </c:pt>
                <c:pt idx="9">
                  <c:v>Α2021</c:v>
                </c:pt>
                <c:pt idx="10">
                  <c:v>Β2021</c:v>
                </c:pt>
                <c:pt idx="11">
                  <c:v>Α2022</c:v>
                </c:pt>
                <c:pt idx="12">
                  <c:v>Β2022</c:v>
                </c:pt>
                <c:pt idx="13">
                  <c:v>Α2023</c:v>
                </c:pt>
                <c:pt idx="14">
                  <c:v>B2023</c:v>
                </c:pt>
              </c:strCache>
            </c:strRef>
          </c:cat>
          <c:val>
            <c:numRef>
              <c:f>'ΓΡΑΦΗΜΑ 6'!$B$3:$B$17</c:f>
              <c:numCache>
                <c:formatCode>General</c:formatCode>
                <c:ptCount val="15"/>
                <c:pt idx="0">
                  <c:v>14.6</c:v>
                </c:pt>
                <c:pt idx="1">
                  <c:v>12.9</c:v>
                </c:pt>
                <c:pt idx="2" formatCode="0.0">
                  <c:v>18.75</c:v>
                </c:pt>
                <c:pt idx="3">
                  <c:v>19.8</c:v>
                </c:pt>
                <c:pt idx="4">
                  <c:v>27.8</c:v>
                </c:pt>
                <c:pt idx="5" formatCode="0.0">
                  <c:v>21.464019851116625</c:v>
                </c:pt>
                <c:pt idx="6">
                  <c:v>29.6</c:v>
                </c:pt>
                <c:pt idx="7">
                  <c:v>7.6</c:v>
                </c:pt>
                <c:pt idx="8">
                  <c:v>13.7</c:v>
                </c:pt>
                <c:pt idx="9">
                  <c:v>21.1</c:v>
                </c:pt>
                <c:pt idx="10">
                  <c:v>32.5</c:v>
                </c:pt>
                <c:pt idx="11">
                  <c:v>28.2</c:v>
                </c:pt>
                <c:pt idx="12">
                  <c:v>36.4</c:v>
                </c:pt>
                <c:pt idx="13">
                  <c:v>30.9</c:v>
                </c:pt>
                <c:pt idx="14">
                  <c:v>29.3</c:v>
                </c:pt>
              </c:numCache>
            </c:numRef>
          </c:val>
          <c:extLst xmlns:c16r2="http://schemas.microsoft.com/office/drawing/2015/06/chart">
            <c:ext xmlns:c16="http://schemas.microsoft.com/office/drawing/2014/chart" uri="{C3380CC4-5D6E-409C-BE32-E72D297353CC}">
              <c16:uniqueId val="{00000000-2F7F-454D-B0CF-92F549050CF5}"/>
            </c:ext>
          </c:extLst>
        </c:ser>
        <c:ser>
          <c:idx val="1"/>
          <c:order val="1"/>
          <c:tx>
            <c:strRef>
              <c:f>'ΓΡΑΦΗΜΑ 6'!$C$1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6'!$A$3:$A$17</c:f>
              <c:strCache>
                <c:ptCount val="15"/>
                <c:pt idx="0">
                  <c:v>Β2016</c:v>
                </c:pt>
                <c:pt idx="1">
                  <c:v>Α2017</c:v>
                </c:pt>
                <c:pt idx="2">
                  <c:v>Β2017</c:v>
                </c:pt>
                <c:pt idx="3">
                  <c:v>Α2018</c:v>
                </c:pt>
                <c:pt idx="4">
                  <c:v>Β2018</c:v>
                </c:pt>
                <c:pt idx="5">
                  <c:v>Α2019</c:v>
                </c:pt>
                <c:pt idx="6">
                  <c:v>Β2019</c:v>
                </c:pt>
                <c:pt idx="7">
                  <c:v>Α2020</c:v>
                </c:pt>
                <c:pt idx="8">
                  <c:v>Β2020</c:v>
                </c:pt>
                <c:pt idx="9">
                  <c:v>Α2021</c:v>
                </c:pt>
                <c:pt idx="10">
                  <c:v>Β2021</c:v>
                </c:pt>
                <c:pt idx="11">
                  <c:v>Α2022</c:v>
                </c:pt>
                <c:pt idx="12">
                  <c:v>Β2022</c:v>
                </c:pt>
                <c:pt idx="13">
                  <c:v>Α2023</c:v>
                </c:pt>
                <c:pt idx="14">
                  <c:v>B2023</c:v>
                </c:pt>
              </c:strCache>
            </c:strRef>
          </c:cat>
          <c:val>
            <c:numRef>
              <c:f>'ΓΡΑΦΗΜΑ 6'!$C$3:$C$17</c:f>
              <c:numCache>
                <c:formatCode>General</c:formatCode>
                <c:ptCount val="15"/>
                <c:pt idx="0">
                  <c:v>62.4</c:v>
                </c:pt>
                <c:pt idx="1">
                  <c:v>56.2</c:v>
                </c:pt>
                <c:pt idx="2" formatCode="0.0">
                  <c:v>47.420634920634917</c:v>
                </c:pt>
                <c:pt idx="3">
                  <c:v>45.6</c:v>
                </c:pt>
                <c:pt idx="4">
                  <c:v>36</c:v>
                </c:pt>
                <c:pt idx="5" formatCode="0.0">
                  <c:v>38.83374689826303</c:v>
                </c:pt>
                <c:pt idx="6">
                  <c:v>29.5</c:v>
                </c:pt>
                <c:pt idx="7">
                  <c:v>75.099999999999994</c:v>
                </c:pt>
                <c:pt idx="8">
                  <c:v>66.8</c:v>
                </c:pt>
                <c:pt idx="9">
                  <c:v>51.7</c:v>
                </c:pt>
                <c:pt idx="10">
                  <c:v>37.5</c:v>
                </c:pt>
                <c:pt idx="11">
                  <c:v>44.8</c:v>
                </c:pt>
                <c:pt idx="12">
                  <c:v>31.2</c:v>
                </c:pt>
                <c:pt idx="13">
                  <c:v>31</c:v>
                </c:pt>
                <c:pt idx="14">
                  <c:v>33</c:v>
                </c:pt>
              </c:numCache>
            </c:numRef>
          </c:val>
          <c:extLst xmlns:c16r2="http://schemas.microsoft.com/office/drawing/2015/06/chart">
            <c:ext xmlns:c16="http://schemas.microsoft.com/office/drawing/2014/chart" uri="{C3380CC4-5D6E-409C-BE32-E72D297353CC}">
              <c16:uniqueId val="{00000001-2F7F-454D-B0CF-92F549050CF5}"/>
            </c:ext>
          </c:extLst>
        </c:ser>
        <c:ser>
          <c:idx val="2"/>
          <c:order val="2"/>
          <c:tx>
            <c:strRef>
              <c:f>'ΓΡΑΦΗΜΑ 6'!$D$1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'ΓΡΑΦΗΜΑ 6'!$A$3:$A$17</c:f>
              <c:strCache>
                <c:ptCount val="15"/>
                <c:pt idx="0">
                  <c:v>Β2016</c:v>
                </c:pt>
                <c:pt idx="1">
                  <c:v>Α2017</c:v>
                </c:pt>
                <c:pt idx="2">
                  <c:v>Β2017</c:v>
                </c:pt>
                <c:pt idx="3">
                  <c:v>Α2018</c:v>
                </c:pt>
                <c:pt idx="4">
                  <c:v>Β2018</c:v>
                </c:pt>
                <c:pt idx="5">
                  <c:v>Α2019</c:v>
                </c:pt>
                <c:pt idx="6">
                  <c:v>Β2019</c:v>
                </c:pt>
                <c:pt idx="7">
                  <c:v>Α2020</c:v>
                </c:pt>
                <c:pt idx="8">
                  <c:v>Β2020</c:v>
                </c:pt>
                <c:pt idx="9">
                  <c:v>Α2021</c:v>
                </c:pt>
                <c:pt idx="10">
                  <c:v>Β2021</c:v>
                </c:pt>
                <c:pt idx="11">
                  <c:v>Α2022</c:v>
                </c:pt>
                <c:pt idx="12">
                  <c:v>Β2022</c:v>
                </c:pt>
                <c:pt idx="13">
                  <c:v>Α2023</c:v>
                </c:pt>
                <c:pt idx="14">
                  <c:v>B2023</c:v>
                </c:pt>
              </c:strCache>
            </c:strRef>
          </c:cat>
          <c:val>
            <c:numRef>
              <c:f>'ΓΡΑΦΗΜΑ 6'!$D$3:$D$17</c:f>
              <c:numCache>
                <c:formatCode>General</c:formatCode>
                <c:ptCount val="15"/>
                <c:pt idx="0">
                  <c:v>22.8</c:v>
                </c:pt>
                <c:pt idx="1">
                  <c:v>30.4</c:v>
                </c:pt>
                <c:pt idx="2" formatCode="0.0">
                  <c:v>33.63095238095238</c:v>
                </c:pt>
                <c:pt idx="3">
                  <c:v>34.200000000000003</c:v>
                </c:pt>
                <c:pt idx="4">
                  <c:v>36</c:v>
                </c:pt>
                <c:pt idx="5" formatCode="0.0">
                  <c:v>39.081885856079403</c:v>
                </c:pt>
                <c:pt idx="6">
                  <c:v>40.700000000000003</c:v>
                </c:pt>
                <c:pt idx="7">
                  <c:v>10.8</c:v>
                </c:pt>
                <c:pt idx="8">
                  <c:v>19.100000000000001</c:v>
                </c:pt>
                <c:pt idx="9">
                  <c:v>25.7</c:v>
                </c:pt>
                <c:pt idx="10">
                  <c:v>29.7</c:v>
                </c:pt>
                <c:pt idx="11">
                  <c:v>26.3</c:v>
                </c:pt>
                <c:pt idx="12">
                  <c:v>32.299999999999997</c:v>
                </c:pt>
                <c:pt idx="13">
                  <c:v>37.200000000000003</c:v>
                </c:pt>
                <c:pt idx="14">
                  <c:v>37.1</c:v>
                </c:pt>
              </c:numCache>
            </c:numRef>
          </c:val>
          <c:extLst xmlns:c16r2="http://schemas.microsoft.com/office/drawing/2015/06/chart">
            <c:ext xmlns:c16="http://schemas.microsoft.com/office/drawing/2014/chart" uri="{C3380CC4-5D6E-409C-BE32-E72D297353CC}">
              <c16:uniqueId val="{00000002-2F7F-454D-B0CF-92F549050CF5}"/>
            </c:ext>
          </c:extLst>
        </c:ser>
        <c:dLbls>
          <c:showLegendKey val="0"/>
          <c:showVal val="0"/>
          <c:showCatName val="0"/>
          <c:showSerName val="0"/>
          <c:showPercent val="0"/>
          <c:showBubbleSize val="0"/>
        </c:dLbls>
        <c:gapWidth val="150"/>
        <c:overlap val="100"/>
        <c:axId val="339758080"/>
        <c:axId val="339788544"/>
      </c:barChart>
      <c:catAx>
        <c:axId val="339758080"/>
        <c:scaling>
          <c:orientation val="minMax"/>
        </c:scaling>
        <c:delete val="0"/>
        <c:axPos val="l"/>
        <c:numFmt formatCode="General" sourceLinked="0"/>
        <c:majorTickMark val="out"/>
        <c:minorTickMark val="none"/>
        <c:tickLblPos val="nextTo"/>
        <c:crossAx val="339788544"/>
        <c:crosses val="autoZero"/>
        <c:auto val="1"/>
        <c:lblAlgn val="ctr"/>
        <c:lblOffset val="100"/>
        <c:noMultiLvlLbl val="0"/>
      </c:catAx>
      <c:valAx>
        <c:axId val="339788544"/>
        <c:scaling>
          <c:orientation val="minMax"/>
        </c:scaling>
        <c:delete val="0"/>
        <c:axPos val="b"/>
        <c:numFmt formatCode="0%" sourceLinked="1"/>
        <c:majorTickMark val="out"/>
        <c:minorTickMark val="none"/>
        <c:tickLblPos val="nextTo"/>
        <c:crossAx val="339758080"/>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ΓΡΑΦΗΜΑ 7</a:t>
            </a:r>
          </a:p>
          <a:p>
            <a:pPr>
              <a:defRPr/>
            </a:pPr>
            <a:r>
              <a:rPr lang="el-GR" sz="1200" b="1" i="0" baseline="0">
                <a:effectLst/>
              </a:rPr>
              <a:t>ΠΑΡΑΓΓΕΛΙΕΣ </a:t>
            </a:r>
            <a:r>
              <a:rPr lang="en-US" sz="1200" b="1" i="0" baseline="0">
                <a:effectLst/>
              </a:rPr>
              <a:t>-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[Γραφήματα.xlsx]Γ7!$B$1</c:f>
              <c:strCache>
                <c:ptCount val="1"/>
                <c:pt idx="0">
                  <c:v>Αύξηση</c:v>
                </c:pt>
              </c:strCache>
            </c:strRef>
          </c:tx>
          <c:invertIfNegative val="0"/>
          <c:dLbls>
            <c:dLbl>
              <c:idx val="26"/>
              <c:layout>
                <c:manualLayout>
                  <c:x val="0"/>
                  <c:y val="2.74207369323050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C7-4588-8F67-64D33A08FE61}"/>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[Γραφήματα.xlsx]Γ7!$A$2:$A$17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strCache>
            </c:strRef>
          </c:cat>
          <c:val>
            <c:numRef>
              <c:f>[Γραφήματα.xlsx]Γ7!$B$2:$B$17</c:f>
              <c:numCache>
                <c:formatCode>General</c:formatCode>
                <c:ptCount val="16"/>
                <c:pt idx="0">
                  <c:v>6.8</c:v>
                </c:pt>
                <c:pt idx="1">
                  <c:v>10.199999999999999</c:v>
                </c:pt>
                <c:pt idx="2">
                  <c:v>9.5</c:v>
                </c:pt>
                <c:pt idx="3" formatCode="0.0">
                  <c:v>13.69047619047619</c:v>
                </c:pt>
                <c:pt idx="4">
                  <c:v>15</c:v>
                </c:pt>
                <c:pt idx="5">
                  <c:v>21</c:v>
                </c:pt>
                <c:pt idx="6" formatCode="0.0">
                  <c:v>17.741935483870968</c:v>
                </c:pt>
                <c:pt idx="7">
                  <c:v>26.1</c:v>
                </c:pt>
                <c:pt idx="8">
                  <c:v>5.5</c:v>
                </c:pt>
                <c:pt idx="9">
                  <c:v>9.1999999999999993</c:v>
                </c:pt>
                <c:pt idx="10">
                  <c:v>17.7</c:v>
                </c:pt>
                <c:pt idx="11">
                  <c:v>27.3</c:v>
                </c:pt>
                <c:pt idx="12">
                  <c:v>25</c:v>
                </c:pt>
                <c:pt idx="13">
                  <c:v>30.5</c:v>
                </c:pt>
                <c:pt idx="14">
                  <c:v>26.2</c:v>
                </c:pt>
                <c:pt idx="15">
                  <c:v>25.3</c:v>
                </c:pt>
              </c:numCache>
            </c:numRef>
          </c:val>
          <c:extLst xmlns:c16r2="http://schemas.microsoft.com/office/drawing/2015/06/chart">
            <c:ext xmlns:c16="http://schemas.microsoft.com/office/drawing/2014/chart" uri="{C3380CC4-5D6E-409C-BE32-E72D297353CC}">
              <c16:uniqueId val="{00000001-59C7-4588-8F67-64D33A08FE61}"/>
            </c:ext>
          </c:extLst>
        </c:ser>
        <c:ser>
          <c:idx val="1"/>
          <c:order val="1"/>
          <c:tx>
            <c:strRef>
              <c:f>[Γραφήματα.xlsx]Γ7!$C$1</c:f>
              <c:strCache>
                <c:ptCount val="1"/>
                <c:pt idx="0">
                  <c:v>Μείωση </c:v>
                </c:pt>
              </c:strCache>
            </c:strRef>
          </c:tx>
          <c:invertIfNegative val="0"/>
          <c:dLbls>
            <c:dLbl>
              <c:idx val="26"/>
              <c:layout>
                <c:manualLayout>
                  <c:x val="-1.8165304268846503E-3"/>
                  <c:y val="-3.7703513281919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9C7-4588-8F67-64D33A08FE61}"/>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[Γραφήματα.xlsx]Γ7!$A$2:$A$17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strCache>
            </c:strRef>
          </c:cat>
          <c:val>
            <c:numRef>
              <c:f>[Γραφήματα.xlsx]Γ7!$C$2:$C$17</c:f>
              <c:numCache>
                <c:formatCode>General</c:formatCode>
                <c:ptCount val="16"/>
                <c:pt idx="0">
                  <c:v>69.5</c:v>
                </c:pt>
                <c:pt idx="1">
                  <c:v>65.900000000000006</c:v>
                </c:pt>
                <c:pt idx="2">
                  <c:v>57.6</c:v>
                </c:pt>
                <c:pt idx="3" formatCode="0.0">
                  <c:v>50.297619047619051</c:v>
                </c:pt>
                <c:pt idx="4">
                  <c:v>45.8</c:v>
                </c:pt>
                <c:pt idx="5">
                  <c:v>39</c:v>
                </c:pt>
                <c:pt idx="6" formatCode="0.0">
                  <c:v>37.096774193548384</c:v>
                </c:pt>
                <c:pt idx="7">
                  <c:v>30.3</c:v>
                </c:pt>
                <c:pt idx="8">
                  <c:v>75.2</c:v>
                </c:pt>
                <c:pt idx="9">
                  <c:v>71.5</c:v>
                </c:pt>
                <c:pt idx="10">
                  <c:v>54</c:v>
                </c:pt>
                <c:pt idx="11">
                  <c:v>43.8</c:v>
                </c:pt>
                <c:pt idx="12">
                  <c:v>46.6</c:v>
                </c:pt>
                <c:pt idx="13">
                  <c:v>35.700000000000003</c:v>
                </c:pt>
                <c:pt idx="14">
                  <c:v>32.4</c:v>
                </c:pt>
                <c:pt idx="15">
                  <c:v>37.200000000000003</c:v>
                </c:pt>
              </c:numCache>
            </c:numRef>
          </c:val>
          <c:extLst xmlns:c16r2="http://schemas.microsoft.com/office/drawing/2015/06/chart">
            <c:ext xmlns:c16="http://schemas.microsoft.com/office/drawing/2014/chart" uri="{C3380CC4-5D6E-409C-BE32-E72D297353CC}">
              <c16:uniqueId val="{00000003-59C7-4588-8F67-64D33A08FE61}"/>
            </c:ext>
          </c:extLst>
        </c:ser>
        <c:ser>
          <c:idx val="2"/>
          <c:order val="2"/>
          <c:tx>
            <c:strRef>
              <c:f>[Γραφήματα.xlsx]Γ7!$D$1</c:f>
              <c:strCache>
                <c:ptCount val="1"/>
                <c:pt idx="0">
                  <c:v>Αμετάβλητες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[Γραφήματα.xlsx]Γ7!$A$2:$A$17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strCache>
            </c:strRef>
          </c:cat>
          <c:val>
            <c:numRef>
              <c:f>[Γραφήματα.xlsx]Γ7!$D$2:$D$17</c:f>
              <c:numCache>
                <c:formatCode>General</c:formatCode>
                <c:ptCount val="16"/>
                <c:pt idx="0">
                  <c:v>21.3</c:v>
                </c:pt>
                <c:pt idx="1">
                  <c:v>21.8</c:v>
                </c:pt>
                <c:pt idx="2">
                  <c:v>29.2</c:v>
                </c:pt>
                <c:pt idx="3" formatCode="0.0">
                  <c:v>32.936507936507937</c:v>
                </c:pt>
                <c:pt idx="4">
                  <c:v>35.299999999999997</c:v>
                </c:pt>
                <c:pt idx="5">
                  <c:v>36.700000000000003</c:v>
                </c:pt>
                <c:pt idx="6" formatCode="0.0">
                  <c:v>41.935483870967744</c:v>
                </c:pt>
                <c:pt idx="7">
                  <c:v>39.1</c:v>
                </c:pt>
                <c:pt idx="8">
                  <c:v>15.2</c:v>
                </c:pt>
                <c:pt idx="9">
                  <c:v>17.7</c:v>
                </c:pt>
                <c:pt idx="10">
                  <c:v>25.2</c:v>
                </c:pt>
                <c:pt idx="11">
                  <c:v>27.9</c:v>
                </c:pt>
                <c:pt idx="12">
                  <c:v>27.1</c:v>
                </c:pt>
                <c:pt idx="13">
                  <c:v>33.200000000000003</c:v>
                </c:pt>
                <c:pt idx="14">
                  <c:v>39.799999999999997</c:v>
                </c:pt>
                <c:pt idx="15">
                  <c:v>35.6</c:v>
                </c:pt>
              </c:numCache>
            </c:numRef>
          </c:val>
          <c:extLst xmlns:c16r2="http://schemas.microsoft.com/office/drawing/2015/06/chart">
            <c:ext xmlns:c16="http://schemas.microsoft.com/office/drawing/2014/chart" uri="{C3380CC4-5D6E-409C-BE32-E72D297353CC}">
              <c16:uniqueId val="{00000004-59C7-4588-8F67-64D33A08FE61}"/>
            </c:ext>
          </c:extLst>
        </c:ser>
        <c:dLbls>
          <c:showLegendKey val="0"/>
          <c:showVal val="0"/>
          <c:showCatName val="0"/>
          <c:showSerName val="0"/>
          <c:showPercent val="0"/>
          <c:showBubbleSize val="0"/>
        </c:dLbls>
        <c:gapWidth val="150"/>
        <c:overlap val="100"/>
        <c:axId val="339314176"/>
        <c:axId val="339315712"/>
      </c:barChart>
      <c:catAx>
        <c:axId val="339314176"/>
        <c:scaling>
          <c:orientation val="minMax"/>
        </c:scaling>
        <c:delete val="0"/>
        <c:axPos val="l"/>
        <c:numFmt formatCode="General" sourceLinked="0"/>
        <c:majorTickMark val="out"/>
        <c:minorTickMark val="none"/>
        <c:tickLblPos val="nextTo"/>
        <c:crossAx val="339315712"/>
        <c:crosses val="autoZero"/>
        <c:auto val="1"/>
        <c:lblAlgn val="ctr"/>
        <c:lblOffset val="100"/>
        <c:noMultiLvlLbl val="0"/>
      </c:catAx>
      <c:valAx>
        <c:axId val="339315712"/>
        <c:scaling>
          <c:orientation val="minMax"/>
        </c:scaling>
        <c:delete val="1"/>
        <c:axPos val="b"/>
        <c:majorGridlines/>
        <c:numFmt formatCode="0%" sourceLinked="1"/>
        <c:majorTickMark val="out"/>
        <c:minorTickMark val="none"/>
        <c:tickLblPos val="nextTo"/>
        <c:crossAx val="339314176"/>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ΓΡΑΦΗΜΑ 8</a:t>
            </a:r>
          </a:p>
          <a:p>
            <a:pPr>
              <a:defRPr sz="1200"/>
            </a:pPr>
            <a:r>
              <a:rPr lang="el-GR" sz="1200" b="1" i="0" baseline="0">
                <a:effectLst/>
              </a:rPr>
              <a:t>ΡΕΥΣΤΟΤΗΤΑ</a:t>
            </a:r>
            <a:r>
              <a:rPr lang="en-US" sz="1200" b="1" i="0" baseline="0">
                <a:effectLst/>
              </a:rPr>
              <a:t> -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[Γραφήματα.xlsx]Γ8!$B$1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[Γραφήματα.xlsx]Γ8!$A$2:$A$17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strCache>
            </c:strRef>
          </c:cat>
          <c:val>
            <c:numRef>
              <c:f>[Γραφήματα.xlsx]Γ8!$B$2:$B$17</c:f>
              <c:numCache>
                <c:formatCode>General</c:formatCode>
                <c:ptCount val="16"/>
                <c:pt idx="0">
                  <c:v>5.7</c:v>
                </c:pt>
                <c:pt idx="1">
                  <c:v>8</c:v>
                </c:pt>
                <c:pt idx="2">
                  <c:v>8.3000000000000007</c:v>
                </c:pt>
                <c:pt idx="3" formatCode="0.0">
                  <c:v>10.119047619047619</c:v>
                </c:pt>
                <c:pt idx="4">
                  <c:v>11.7</c:v>
                </c:pt>
                <c:pt idx="5">
                  <c:v>15.5</c:v>
                </c:pt>
                <c:pt idx="6" formatCode="0.0">
                  <c:v>14.640198511166252</c:v>
                </c:pt>
                <c:pt idx="7">
                  <c:v>18.8</c:v>
                </c:pt>
                <c:pt idx="8">
                  <c:v>5.4</c:v>
                </c:pt>
                <c:pt idx="9">
                  <c:v>7.5</c:v>
                </c:pt>
                <c:pt idx="10">
                  <c:v>15.3</c:v>
                </c:pt>
                <c:pt idx="11">
                  <c:v>22.1</c:v>
                </c:pt>
                <c:pt idx="12">
                  <c:v>22</c:v>
                </c:pt>
                <c:pt idx="13">
                  <c:v>25.6</c:v>
                </c:pt>
                <c:pt idx="14">
                  <c:v>23.3</c:v>
                </c:pt>
                <c:pt idx="15">
                  <c:v>21.5</c:v>
                </c:pt>
              </c:numCache>
            </c:numRef>
          </c:val>
          <c:extLst xmlns:c16r2="http://schemas.microsoft.com/office/drawing/2015/06/chart">
            <c:ext xmlns:c16="http://schemas.microsoft.com/office/drawing/2014/chart" uri="{C3380CC4-5D6E-409C-BE32-E72D297353CC}">
              <c16:uniqueId val="{00000000-6B15-467B-BECC-0FC099B3639A}"/>
            </c:ext>
          </c:extLst>
        </c:ser>
        <c:ser>
          <c:idx val="1"/>
          <c:order val="1"/>
          <c:tx>
            <c:strRef>
              <c:f>[Γραφήματα.xlsx]Γ8!$C$1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[Γραφήματα.xlsx]Γ8!$A$2:$A$17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strCache>
            </c:strRef>
          </c:cat>
          <c:val>
            <c:numRef>
              <c:f>[Γραφήματα.xlsx]Γ8!$C$2:$C$17</c:f>
              <c:numCache>
                <c:formatCode>General</c:formatCode>
                <c:ptCount val="16"/>
                <c:pt idx="0">
                  <c:v>75.8</c:v>
                </c:pt>
                <c:pt idx="1">
                  <c:v>70.099999999999994</c:v>
                </c:pt>
                <c:pt idx="2">
                  <c:v>65.099999999999994</c:v>
                </c:pt>
                <c:pt idx="3" formatCode="0.0">
                  <c:v>58.134920634920633</c:v>
                </c:pt>
                <c:pt idx="4">
                  <c:v>53.2</c:v>
                </c:pt>
                <c:pt idx="5">
                  <c:v>48.4</c:v>
                </c:pt>
                <c:pt idx="6" formatCode="0.0">
                  <c:v>46.401985111662533</c:v>
                </c:pt>
                <c:pt idx="7">
                  <c:v>38.799999999999997</c:v>
                </c:pt>
                <c:pt idx="8">
                  <c:v>78.3</c:v>
                </c:pt>
                <c:pt idx="9">
                  <c:v>74.900000000000006</c:v>
                </c:pt>
                <c:pt idx="10">
                  <c:v>56.1</c:v>
                </c:pt>
                <c:pt idx="11">
                  <c:v>48.8</c:v>
                </c:pt>
                <c:pt idx="12">
                  <c:v>52.7</c:v>
                </c:pt>
                <c:pt idx="13">
                  <c:v>41.5</c:v>
                </c:pt>
                <c:pt idx="14">
                  <c:v>38.799999999999997</c:v>
                </c:pt>
                <c:pt idx="15">
                  <c:v>42.4</c:v>
                </c:pt>
              </c:numCache>
            </c:numRef>
          </c:val>
          <c:extLst xmlns:c16r2="http://schemas.microsoft.com/office/drawing/2015/06/chart">
            <c:ext xmlns:c16="http://schemas.microsoft.com/office/drawing/2014/chart" uri="{C3380CC4-5D6E-409C-BE32-E72D297353CC}">
              <c16:uniqueId val="{00000001-6B15-467B-BECC-0FC099B3639A}"/>
            </c:ext>
          </c:extLst>
        </c:ser>
        <c:ser>
          <c:idx val="2"/>
          <c:order val="2"/>
          <c:tx>
            <c:strRef>
              <c:f>[Γραφήματα.xlsx]Γ8!$D$1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[Γραφήματα.xlsx]Γ8!$A$2:$A$17</c:f>
              <c:strCache>
                <c:ptCount val="16"/>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strCache>
            </c:strRef>
          </c:cat>
          <c:val>
            <c:numRef>
              <c:f>[Γραφήματα.xlsx]Γ8!$D$2:$D$17</c:f>
              <c:numCache>
                <c:formatCode>General</c:formatCode>
                <c:ptCount val="16"/>
                <c:pt idx="0">
                  <c:v>17.8</c:v>
                </c:pt>
                <c:pt idx="1">
                  <c:v>21.2</c:v>
                </c:pt>
                <c:pt idx="2">
                  <c:v>25.8</c:v>
                </c:pt>
                <c:pt idx="3" formatCode="0.0">
                  <c:v>31.25</c:v>
                </c:pt>
                <c:pt idx="4">
                  <c:v>34</c:v>
                </c:pt>
                <c:pt idx="5">
                  <c:v>35.6</c:v>
                </c:pt>
                <c:pt idx="6" formatCode="0.0">
                  <c:v>37.841191066997517</c:v>
                </c:pt>
                <c:pt idx="7">
                  <c:v>41.7</c:v>
                </c:pt>
                <c:pt idx="8">
                  <c:v>15.3</c:v>
                </c:pt>
                <c:pt idx="9">
                  <c:v>16.899999999999999</c:v>
                </c:pt>
                <c:pt idx="10">
                  <c:v>27.2</c:v>
                </c:pt>
                <c:pt idx="11">
                  <c:v>28.9</c:v>
                </c:pt>
                <c:pt idx="12">
                  <c:v>24.8</c:v>
                </c:pt>
                <c:pt idx="13">
                  <c:v>32.700000000000003</c:v>
                </c:pt>
                <c:pt idx="14">
                  <c:v>36.5</c:v>
                </c:pt>
                <c:pt idx="15">
                  <c:v>35.6</c:v>
                </c:pt>
              </c:numCache>
            </c:numRef>
          </c:val>
          <c:extLst xmlns:c16r2="http://schemas.microsoft.com/office/drawing/2015/06/chart">
            <c:ext xmlns:c16="http://schemas.microsoft.com/office/drawing/2014/chart" uri="{C3380CC4-5D6E-409C-BE32-E72D297353CC}">
              <c16:uniqueId val="{00000002-6B15-467B-BECC-0FC099B3639A}"/>
            </c:ext>
          </c:extLst>
        </c:ser>
        <c:dLbls>
          <c:showLegendKey val="0"/>
          <c:showVal val="0"/>
          <c:showCatName val="0"/>
          <c:showSerName val="0"/>
          <c:showPercent val="0"/>
          <c:showBubbleSize val="0"/>
        </c:dLbls>
        <c:gapWidth val="150"/>
        <c:overlap val="100"/>
        <c:axId val="339438592"/>
        <c:axId val="339456768"/>
      </c:barChart>
      <c:catAx>
        <c:axId val="339438592"/>
        <c:scaling>
          <c:orientation val="minMax"/>
        </c:scaling>
        <c:delete val="0"/>
        <c:axPos val="l"/>
        <c:numFmt formatCode="General" sourceLinked="0"/>
        <c:majorTickMark val="out"/>
        <c:minorTickMark val="none"/>
        <c:tickLblPos val="nextTo"/>
        <c:crossAx val="339456768"/>
        <c:crosses val="autoZero"/>
        <c:auto val="1"/>
        <c:lblAlgn val="ctr"/>
        <c:lblOffset val="100"/>
        <c:noMultiLvlLbl val="0"/>
      </c:catAx>
      <c:valAx>
        <c:axId val="339456768"/>
        <c:scaling>
          <c:orientation val="minMax"/>
        </c:scaling>
        <c:delete val="1"/>
        <c:axPos val="b"/>
        <c:majorGridlines/>
        <c:numFmt formatCode="0%" sourceLinked="1"/>
        <c:majorTickMark val="out"/>
        <c:minorTickMark val="none"/>
        <c:tickLblPos val="nextTo"/>
        <c:crossAx val="339438592"/>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Γράφημα 9</a:t>
            </a:r>
            <a:endParaRPr lang="el-GR" sz="1200">
              <a:effectLst/>
            </a:endParaRPr>
          </a:p>
          <a:p>
            <a:pPr>
              <a:defRPr/>
            </a:pPr>
            <a:r>
              <a:rPr lang="el-GR" sz="1200" b="1" i="0" baseline="0">
                <a:effectLst/>
              </a:rPr>
              <a:t>Επάρκεια ταμειακών διαθεσίμων για κάλυψη βασικών υποχρεώσεων της επιχείρησης </a:t>
            </a:r>
            <a:endParaRPr lang="el-GR" sz="1200">
              <a:effectLst/>
            </a:endParaRPr>
          </a:p>
          <a:p>
            <a:pPr>
              <a:defRPr/>
            </a:pPr>
            <a:r>
              <a:rPr lang="el-GR" sz="1200" b="1" i="0" baseline="0">
                <a:effectLst/>
              </a:rPr>
              <a:t>- Συγκριτικό Γράφημα -</a:t>
            </a:r>
            <a:endParaRPr lang="el-GR" sz="1200">
              <a:effectLst/>
            </a:endParaRPr>
          </a:p>
        </c:rich>
      </c:tx>
      <c:layout>
        <c:manualLayout>
          <c:xMode val="edge"/>
          <c:yMode val="edge"/>
          <c:x val="0.1565005426015188"/>
          <c:y val="0"/>
        </c:manualLayout>
      </c:layout>
      <c:overlay val="0"/>
    </c:title>
    <c:autoTitleDeleted val="0"/>
    <c:plotArea>
      <c:layout>
        <c:manualLayout>
          <c:layoutTarget val="inner"/>
          <c:xMode val="edge"/>
          <c:yMode val="edge"/>
          <c:x val="0.24478854733905592"/>
          <c:y val="0.16957928802588998"/>
          <c:w val="0.6994700070074179"/>
          <c:h val="0.75364725140795952"/>
        </c:manualLayout>
      </c:layout>
      <c:barChart>
        <c:barDir val="col"/>
        <c:grouping val="percentStacked"/>
        <c:varyColors val="0"/>
        <c:ser>
          <c:idx val="0"/>
          <c:order val="0"/>
          <c:tx>
            <c:strRef>
              <c:f>[Γραφήματα.xlsx]Γ9!$A$2</c:f>
              <c:strCache>
                <c:ptCount val="1"/>
                <c:pt idx="0">
                  <c:v>Δεν υπάρχουν ταμειακά διαθέσιμα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[Γραφήματα.xlsx]Γ9!$B$2:$I$2</c:f>
              <c:numCache>
                <c:formatCode>0.0%</c:formatCode>
                <c:ptCount val="8"/>
                <c:pt idx="0" formatCode="0.00%">
                  <c:v>0.255</c:v>
                </c:pt>
                <c:pt idx="1">
                  <c:v>0.25600000000000001</c:v>
                </c:pt>
                <c:pt idx="2">
                  <c:v>0.28000000000000003</c:v>
                </c:pt>
                <c:pt idx="3">
                  <c:v>0.27840199750312111</c:v>
                </c:pt>
                <c:pt idx="4">
                  <c:v>0.219</c:v>
                </c:pt>
                <c:pt idx="5">
                  <c:v>0.214</c:v>
                </c:pt>
                <c:pt idx="6">
                  <c:v>0.247</c:v>
                </c:pt>
                <c:pt idx="7">
                  <c:v>0.14799999999999999</c:v>
                </c:pt>
              </c:numCache>
            </c:numRef>
          </c:val>
          <c:extLst xmlns:c16r2="http://schemas.microsoft.com/office/drawing/2015/06/chart">
            <c:ext xmlns:c16="http://schemas.microsoft.com/office/drawing/2014/chart" uri="{C3380CC4-5D6E-409C-BE32-E72D297353CC}">
              <c16:uniqueId val="{00000000-5805-4F1A-B795-4EE56BD22417}"/>
            </c:ext>
          </c:extLst>
        </c:ser>
        <c:ser>
          <c:idx val="1"/>
          <c:order val="1"/>
          <c:tx>
            <c:strRef>
              <c:f>[Γραφήματα.xlsx]Γ9!$A$3</c:f>
              <c:strCache>
                <c:ptCount val="1"/>
                <c:pt idx="0">
                  <c:v>Λιγότερο από 1 μηνα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[Γραφήματα.xlsx]Γ9!$B$3:$I$3</c:f>
              <c:numCache>
                <c:formatCode>0.0%</c:formatCode>
                <c:ptCount val="8"/>
                <c:pt idx="0" formatCode="0.00%">
                  <c:v>8.6999999999999994E-2</c:v>
                </c:pt>
                <c:pt idx="1">
                  <c:v>9.0999999999999998E-2</c:v>
                </c:pt>
                <c:pt idx="2">
                  <c:v>7.3999999999999996E-2</c:v>
                </c:pt>
                <c:pt idx="3">
                  <c:v>9.2384519350811489E-2</c:v>
                </c:pt>
                <c:pt idx="4">
                  <c:v>0.11</c:v>
                </c:pt>
                <c:pt idx="5">
                  <c:v>7.6999999999999999E-2</c:v>
                </c:pt>
                <c:pt idx="6">
                  <c:v>9.6000000000000002E-2</c:v>
                </c:pt>
                <c:pt idx="7">
                  <c:v>0.107</c:v>
                </c:pt>
              </c:numCache>
            </c:numRef>
          </c:val>
          <c:extLst xmlns:c16r2="http://schemas.microsoft.com/office/drawing/2015/06/chart">
            <c:ext xmlns:c16="http://schemas.microsoft.com/office/drawing/2014/chart" uri="{C3380CC4-5D6E-409C-BE32-E72D297353CC}">
              <c16:uniqueId val="{00000001-5805-4F1A-B795-4EE56BD22417}"/>
            </c:ext>
          </c:extLst>
        </c:ser>
        <c:ser>
          <c:idx val="2"/>
          <c:order val="2"/>
          <c:tx>
            <c:strRef>
              <c:f>[Γραφήματα.xlsx]Γ9!$A$4</c:f>
              <c:strCache>
                <c:ptCount val="1"/>
                <c:pt idx="0">
                  <c:v>1 μήνα</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[Γραφήματα.xlsx]Γ9!$B$4:$I$4</c:f>
              <c:numCache>
                <c:formatCode>0.0%</c:formatCode>
                <c:ptCount val="8"/>
                <c:pt idx="0" formatCode="0.00%">
                  <c:v>0.16400000000000001</c:v>
                </c:pt>
                <c:pt idx="1">
                  <c:v>0.121</c:v>
                </c:pt>
                <c:pt idx="2">
                  <c:v>0.15</c:v>
                </c:pt>
                <c:pt idx="3">
                  <c:v>0.14981273408239701</c:v>
                </c:pt>
                <c:pt idx="4">
                  <c:v>0.17599999999999999</c:v>
                </c:pt>
                <c:pt idx="5">
                  <c:v>0.13300000000000001</c:v>
                </c:pt>
                <c:pt idx="6">
                  <c:v>0.14399999999999999</c:v>
                </c:pt>
                <c:pt idx="7">
                  <c:v>0.152</c:v>
                </c:pt>
              </c:numCache>
            </c:numRef>
          </c:val>
          <c:extLst xmlns:c16r2="http://schemas.microsoft.com/office/drawing/2015/06/chart">
            <c:ext xmlns:c16="http://schemas.microsoft.com/office/drawing/2014/chart" uri="{C3380CC4-5D6E-409C-BE32-E72D297353CC}">
              <c16:uniqueId val="{00000002-5805-4F1A-B795-4EE56BD22417}"/>
            </c:ext>
          </c:extLst>
        </c:ser>
        <c:ser>
          <c:idx val="3"/>
          <c:order val="3"/>
          <c:tx>
            <c:strRef>
              <c:f>[Γραφήματα.xlsx]Γ9!$A$5</c:f>
              <c:strCache>
                <c:ptCount val="1"/>
                <c:pt idx="0">
                  <c:v>2 μήνες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[Γραφήματα.xlsx]Γ9!$B$5:$I$5</c:f>
              <c:numCache>
                <c:formatCode>0.0%</c:formatCode>
                <c:ptCount val="8"/>
                <c:pt idx="0" formatCode="0.00%">
                  <c:v>9.4E-2</c:v>
                </c:pt>
                <c:pt idx="1">
                  <c:v>0.106</c:v>
                </c:pt>
                <c:pt idx="2">
                  <c:v>0.109</c:v>
                </c:pt>
                <c:pt idx="3">
                  <c:v>9.3632958801498134E-2</c:v>
                </c:pt>
                <c:pt idx="4">
                  <c:v>0.122</c:v>
                </c:pt>
                <c:pt idx="5">
                  <c:v>0.127</c:v>
                </c:pt>
                <c:pt idx="6">
                  <c:v>0.13700000000000001</c:v>
                </c:pt>
                <c:pt idx="7">
                  <c:v>0.13700000000000001</c:v>
                </c:pt>
              </c:numCache>
            </c:numRef>
          </c:val>
          <c:extLst xmlns:c16r2="http://schemas.microsoft.com/office/drawing/2015/06/chart">
            <c:ext xmlns:c16="http://schemas.microsoft.com/office/drawing/2014/chart" uri="{C3380CC4-5D6E-409C-BE32-E72D297353CC}">
              <c16:uniqueId val="{00000003-5805-4F1A-B795-4EE56BD22417}"/>
            </c:ext>
          </c:extLst>
        </c:ser>
        <c:ser>
          <c:idx val="4"/>
          <c:order val="4"/>
          <c:tx>
            <c:strRef>
              <c:f>[Γραφήματα.xlsx]Γ9!$A$6</c:f>
              <c:strCache>
                <c:ptCount val="1"/>
                <c:pt idx="0">
                  <c:v>3-4 μήνες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[Γραφήματα.xlsx]Γ9!$B$6:$I$6</c:f>
              <c:numCache>
                <c:formatCode>0.0%</c:formatCode>
                <c:ptCount val="8"/>
                <c:pt idx="0" formatCode="0.00%">
                  <c:v>0.111</c:v>
                </c:pt>
                <c:pt idx="1">
                  <c:v>8.7999999999999995E-2</c:v>
                </c:pt>
                <c:pt idx="2">
                  <c:v>0.121</c:v>
                </c:pt>
                <c:pt idx="3">
                  <c:v>8.4900000000000003E-2</c:v>
                </c:pt>
                <c:pt idx="4">
                  <c:v>0.124</c:v>
                </c:pt>
                <c:pt idx="5">
                  <c:v>0.113</c:v>
                </c:pt>
                <c:pt idx="6">
                  <c:v>0.129</c:v>
                </c:pt>
                <c:pt idx="7">
                  <c:v>0.14799999999999999</c:v>
                </c:pt>
              </c:numCache>
            </c:numRef>
          </c:val>
          <c:extLst xmlns:c16r2="http://schemas.microsoft.com/office/drawing/2015/06/chart">
            <c:ext xmlns:c16="http://schemas.microsoft.com/office/drawing/2014/chart" uri="{C3380CC4-5D6E-409C-BE32-E72D297353CC}">
              <c16:uniqueId val="{00000004-5805-4F1A-B795-4EE56BD22417}"/>
            </c:ext>
          </c:extLst>
        </c:ser>
        <c:ser>
          <c:idx val="5"/>
          <c:order val="5"/>
          <c:tx>
            <c:strRef>
              <c:f>[Γραφήματα.xlsx]Γ9!$A$7</c:f>
              <c:strCache>
                <c:ptCount val="1"/>
                <c:pt idx="0">
                  <c:v>5-6 μήνες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[Γραφήματα.xlsx]Γ9!$B$7:$I$7</c:f>
              <c:numCache>
                <c:formatCode>0.0%</c:formatCode>
                <c:ptCount val="8"/>
                <c:pt idx="0" formatCode="0.00%">
                  <c:v>0.113</c:v>
                </c:pt>
                <c:pt idx="1">
                  <c:v>0.107</c:v>
                </c:pt>
                <c:pt idx="2">
                  <c:v>0.10199999999999999</c:v>
                </c:pt>
                <c:pt idx="3">
                  <c:v>0.11990000000000001</c:v>
                </c:pt>
                <c:pt idx="4">
                  <c:v>0.107</c:v>
                </c:pt>
                <c:pt idx="5">
                  <c:v>0.13400000000000001</c:v>
                </c:pt>
                <c:pt idx="6">
                  <c:v>0.10299999999999999</c:v>
                </c:pt>
                <c:pt idx="7">
                  <c:v>9.9000000000000005E-2</c:v>
                </c:pt>
              </c:numCache>
            </c:numRef>
          </c:val>
          <c:extLst xmlns:c16r2="http://schemas.microsoft.com/office/drawing/2015/06/chart">
            <c:ext xmlns:c16="http://schemas.microsoft.com/office/drawing/2014/chart" uri="{C3380CC4-5D6E-409C-BE32-E72D297353CC}">
              <c16:uniqueId val="{00000005-5805-4F1A-B795-4EE56BD22417}"/>
            </c:ext>
          </c:extLst>
        </c:ser>
        <c:ser>
          <c:idx val="6"/>
          <c:order val="6"/>
          <c:tx>
            <c:strRef>
              <c:f>[Γραφήματα.xlsx]Γ9!$A$8</c:f>
              <c:strCache>
                <c:ptCount val="1"/>
                <c:pt idx="0">
                  <c:v>Πάνω από 6 μήνες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[Γραφήματα.xlsx]Γ9!$B$1:$I$1</c:f>
              <c:strCache>
                <c:ptCount val="8"/>
                <c:pt idx="0">
                  <c:v>Φεβρουάριος 2024</c:v>
                </c:pt>
                <c:pt idx="1">
                  <c:v>Ιούλιος 2023</c:v>
                </c:pt>
                <c:pt idx="2">
                  <c:v>Φεβρουάριος 2023</c:v>
                </c:pt>
                <c:pt idx="3">
                  <c:v>Ιούλιος 2022</c:v>
                </c:pt>
                <c:pt idx="4">
                  <c:v>Φεβρουάριος 2022</c:v>
                </c:pt>
                <c:pt idx="5">
                  <c:v>Ιούλιος 2021</c:v>
                </c:pt>
                <c:pt idx="6">
                  <c:v>Φεβρουάριος 2021</c:v>
                </c:pt>
                <c:pt idx="7">
                  <c:v>Ιούνιος 2020</c:v>
                </c:pt>
              </c:strCache>
            </c:strRef>
          </c:cat>
          <c:val>
            <c:numRef>
              <c:f>[Γραφήματα.xlsx]Γ9!$B$8:$I$8</c:f>
              <c:numCache>
                <c:formatCode>0.0%</c:formatCode>
                <c:ptCount val="8"/>
                <c:pt idx="0" formatCode="0.00%">
                  <c:v>0.10100000000000001</c:v>
                </c:pt>
                <c:pt idx="1">
                  <c:v>0.108</c:v>
                </c:pt>
                <c:pt idx="2">
                  <c:v>0.09</c:v>
                </c:pt>
                <c:pt idx="3">
                  <c:v>0.10112359550561797</c:v>
                </c:pt>
                <c:pt idx="4">
                  <c:v>8.1000000000000003E-2</c:v>
                </c:pt>
                <c:pt idx="5">
                  <c:v>9.5000000000000001E-2</c:v>
                </c:pt>
                <c:pt idx="6">
                  <c:v>7.5999999999999998E-2</c:v>
                </c:pt>
                <c:pt idx="7">
                  <c:v>0.106</c:v>
                </c:pt>
              </c:numCache>
            </c:numRef>
          </c:val>
          <c:extLst xmlns:c16r2="http://schemas.microsoft.com/office/drawing/2015/06/chart">
            <c:ext xmlns:c16="http://schemas.microsoft.com/office/drawing/2014/chart" uri="{C3380CC4-5D6E-409C-BE32-E72D297353CC}">
              <c16:uniqueId val="{00000006-5805-4F1A-B795-4EE56BD22417}"/>
            </c:ext>
          </c:extLst>
        </c:ser>
        <c:dLbls>
          <c:showLegendKey val="0"/>
          <c:showVal val="0"/>
          <c:showCatName val="0"/>
          <c:showSerName val="0"/>
          <c:showPercent val="0"/>
          <c:showBubbleSize val="0"/>
        </c:dLbls>
        <c:gapWidth val="150"/>
        <c:overlap val="99"/>
        <c:axId val="340962304"/>
        <c:axId val="341046016"/>
      </c:barChart>
      <c:catAx>
        <c:axId val="340962304"/>
        <c:scaling>
          <c:orientation val="maxMin"/>
        </c:scaling>
        <c:delete val="0"/>
        <c:axPos val="b"/>
        <c:numFmt formatCode="General" sourceLinked="0"/>
        <c:majorTickMark val="out"/>
        <c:minorTickMark val="none"/>
        <c:tickLblPos val="nextTo"/>
        <c:txPr>
          <a:bodyPr/>
          <a:lstStyle/>
          <a:p>
            <a:pPr>
              <a:defRPr sz="600"/>
            </a:pPr>
            <a:endParaRPr lang="el-GR"/>
          </a:p>
        </c:txPr>
        <c:crossAx val="341046016"/>
        <c:crosses val="autoZero"/>
        <c:auto val="1"/>
        <c:lblAlgn val="ctr"/>
        <c:lblOffset val="100"/>
        <c:noMultiLvlLbl val="0"/>
      </c:catAx>
      <c:valAx>
        <c:axId val="341046016"/>
        <c:scaling>
          <c:orientation val="minMax"/>
        </c:scaling>
        <c:delete val="1"/>
        <c:axPos val="r"/>
        <c:majorGridlines/>
        <c:numFmt formatCode="0%" sourceLinked="1"/>
        <c:majorTickMark val="out"/>
        <c:minorTickMark val="none"/>
        <c:tickLblPos val="nextTo"/>
        <c:crossAx val="340962304"/>
        <c:crosses val="autoZero"/>
        <c:crossBetween val="between"/>
      </c:valAx>
    </c:plotArea>
    <c:legend>
      <c:legendPos val="l"/>
      <c:layout>
        <c:manualLayout>
          <c:xMode val="edge"/>
          <c:yMode val="edge"/>
          <c:x val="2.0066317333109162E-2"/>
          <c:y val="0.17316022390405084"/>
          <c:w val="0.20650066609624279"/>
          <c:h val="0.7391309619200037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E6D7ACF-8C02-4FA2-9591-C063BFEA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7074</Words>
  <Characters>38202</Characters>
  <Application>Microsoft Office Word</Application>
  <DocSecurity>0</DocSecurity>
  <Lines>318</Lines>
  <Paragraphs>90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Θανόπουλος</dc:creator>
  <cp:lastModifiedBy>Γιώργος Θανόπουλος</cp:lastModifiedBy>
  <cp:revision>4</cp:revision>
  <cp:lastPrinted>2024-03-19T07:15:00Z</cp:lastPrinted>
  <dcterms:created xsi:type="dcterms:W3CDTF">2024-03-19T07:20:00Z</dcterms:created>
  <dcterms:modified xsi:type="dcterms:W3CDTF">2024-03-19T07:28:00Z</dcterms:modified>
</cp:coreProperties>
</file>